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6"/>
        <w:gridCol w:w="833"/>
        <w:gridCol w:w="2982"/>
        <w:gridCol w:w="2908"/>
        <w:gridCol w:w="322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黑体" w:hAnsi="黑体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color w:val="auto"/>
                <w:sz w:val="24"/>
                <w:szCs w:val="24"/>
              </w:rPr>
              <w:t>13</w:t>
            </w:r>
            <w:r>
              <w:rPr>
                <w:rFonts w:hint="eastAsia" w:ascii="黑体" w:hAnsi="黑体"/>
                <w:b w:val="0"/>
                <w:color w:val="auto"/>
                <w:sz w:val="24"/>
                <w:szCs w:val="24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auto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045300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国际中文教育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③354汉语基础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④445汉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语国际教育基础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笔试：专业基本能力，主要考查学生的人文素养、逻辑思考能力和创新能力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面试：主要考查学生对本专业的理解、知识背景及汉语国际教师的基本素质，包括普通话水平（二级甲等或相当水平）、外语交际能力和合作沟通能力等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1.中国文学史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2.古代汉语基础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普通话水平不达标不予录取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0501Z3对外汉语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01汉语与汉语教学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02语言与文化传播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③617中国文学史（含现当代）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18"/>
                <w:szCs w:val="18"/>
              </w:rPr>
              <w:t>笔试：对外汉语专业基础知识（主要考查现代汉语、中国国情与文化知识）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18"/>
                <w:szCs w:val="18"/>
              </w:rPr>
              <w:t>面试：注重专业理解、知识背景及教师基本素质的考查，包括普通话水平（二级甲等以上或相当水平）、外语口语水平和交际沟通能力的考查等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《现代汉语》（增订六版），黄伯荣、廖序东主编，高等教育出版社2017年版；《中国文化要略》（第4版），程裕祯著，外语教学与研究出版社2017年版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1.中国现当代文学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2.外国文学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18"/>
                <w:szCs w:val="18"/>
              </w:rPr>
              <w:t>普通话水平不达标不予录取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1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280A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0D76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E51AC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43DC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0018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2A8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140BC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AC85-D5C0-4254-9F64-8A9664BAC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561</Words>
  <Characters>604</Characters>
  <Lines>4</Lines>
  <Paragraphs>1</Paragraphs>
  <TotalTime>25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2023-08-23T02:17:28Z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