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D276F">
      <w:pPr>
        <w:pStyle w:val="11"/>
        <w:spacing w:line="360" w:lineRule="auto"/>
        <w:ind w:left="25" w:right="1016" w:firstLine="594" w:firstLineChars="200"/>
        <w:jc w:val="center"/>
        <w:rPr>
          <w:rFonts w:hint="eastAsia" w:ascii="宋体" w:hAnsi="宋体" w:eastAsia="宋体" w:cs="宋体"/>
          <w:b/>
          <w:bCs/>
          <w:spacing w:val="7"/>
          <w:sz w:val="28"/>
          <w:szCs w:val="28"/>
          <w:lang w:eastAsia="zh-CN"/>
        </w:rPr>
      </w:pPr>
      <w:r>
        <w:rPr>
          <w:rFonts w:hint="eastAsia" w:ascii="宋体" w:hAnsi="宋体" w:eastAsia="宋体" w:cs="宋体"/>
          <w:b/>
          <w:bCs/>
          <w:spacing w:val="8"/>
          <w:sz w:val="28"/>
          <w:szCs w:val="28"/>
          <w:lang w:eastAsia="zh-CN"/>
        </w:rPr>
        <w:t>437《社会工作实务》考</w:t>
      </w:r>
      <w:r>
        <w:rPr>
          <w:rFonts w:hint="eastAsia" w:ascii="宋体" w:hAnsi="宋体" w:eastAsia="宋体" w:cs="宋体"/>
          <w:b/>
          <w:bCs/>
          <w:spacing w:val="7"/>
          <w:sz w:val="28"/>
          <w:szCs w:val="28"/>
          <w:lang w:eastAsia="zh-CN"/>
        </w:rPr>
        <w:t>试大纲</w:t>
      </w:r>
      <w:bookmarkStart w:id="0" w:name="_GoBack"/>
      <w:bookmarkEnd w:id="0"/>
    </w:p>
    <w:p w14:paraId="672EAA88">
      <w:pPr>
        <w:pStyle w:val="11"/>
        <w:spacing w:line="360" w:lineRule="auto"/>
        <w:ind w:left="27" w:firstLine="468" w:firstLineChars="200"/>
        <w:rPr>
          <w:rFonts w:hint="eastAsia" w:ascii="宋体" w:hAnsi="宋体" w:eastAsia="宋体" w:cs="宋体"/>
          <w:spacing w:val="-3"/>
          <w:sz w:val="24"/>
          <w:szCs w:val="24"/>
          <w:lang w:eastAsia="zh-CN"/>
        </w:rPr>
      </w:pPr>
    </w:p>
    <w:p w14:paraId="0451221D">
      <w:pPr>
        <w:pStyle w:val="11"/>
        <w:spacing w:line="360" w:lineRule="auto"/>
        <w:ind w:left="27" w:firstLine="470" w:firstLineChars="200"/>
        <w:rPr>
          <w:rFonts w:hint="eastAsia" w:ascii="宋体" w:hAnsi="宋体" w:eastAsia="宋体" w:cs="宋体"/>
          <w:b/>
          <w:bCs/>
          <w:sz w:val="24"/>
          <w:szCs w:val="24"/>
          <w:lang w:eastAsia="zh-CN"/>
        </w:rPr>
      </w:pPr>
      <w:r>
        <w:rPr>
          <w:rFonts w:hint="eastAsia" w:ascii="宋体" w:hAnsi="宋体" w:eastAsia="宋体" w:cs="宋体"/>
          <w:b/>
          <w:bCs/>
          <w:spacing w:val="-3"/>
          <w:sz w:val="24"/>
          <w:szCs w:val="24"/>
          <w:lang w:eastAsia="zh-CN"/>
        </w:rPr>
        <w:t>一、考查目标</w:t>
      </w:r>
    </w:p>
    <w:p w14:paraId="37966BEE">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bidi="ar"/>
        </w:rPr>
        <w:t>本科目考查考生理解社会工作实务的意义，掌握各种社会工作实务的方法与技巧，了解社会行政与社会政策的内容，能够运用社会工作实务方法介入问题与解决问题的能力。考查考生对社会科学研究的基本原理、主要方法与研究过程的理解和运用。</w:t>
      </w:r>
    </w:p>
    <w:p w14:paraId="20B7688C">
      <w:pPr>
        <w:pStyle w:val="11"/>
        <w:spacing w:line="360" w:lineRule="auto"/>
        <w:ind w:left="27" w:firstLine="478" w:firstLineChars="200"/>
        <w:rPr>
          <w:rFonts w:hint="eastAsia" w:ascii="宋体" w:hAnsi="宋体" w:eastAsia="宋体" w:cs="宋体"/>
          <w:b/>
          <w:bCs/>
          <w:sz w:val="24"/>
          <w:szCs w:val="24"/>
          <w:lang w:eastAsia="zh-CN"/>
        </w:rPr>
      </w:pPr>
      <w:r>
        <w:rPr>
          <w:rFonts w:hint="eastAsia" w:ascii="宋体" w:hAnsi="宋体" w:eastAsia="宋体" w:cs="宋体"/>
          <w:b/>
          <w:bCs/>
          <w:spacing w:val="-1"/>
          <w:sz w:val="24"/>
          <w:szCs w:val="24"/>
          <w:lang w:eastAsia="zh-CN"/>
        </w:rPr>
        <w:t>二、考试形式和试卷结构</w:t>
      </w:r>
    </w:p>
    <w:p w14:paraId="37328998">
      <w:pPr>
        <w:pStyle w:val="11"/>
        <w:spacing w:line="360" w:lineRule="auto"/>
        <w:ind w:left="39" w:firstLine="468" w:firstLineChars="200"/>
        <w:rPr>
          <w:rFonts w:hint="eastAsia" w:ascii="宋体" w:hAnsi="宋体" w:eastAsia="宋体" w:cs="宋体"/>
          <w:sz w:val="24"/>
          <w:szCs w:val="24"/>
          <w:lang w:eastAsia="zh-CN"/>
        </w:rPr>
      </w:pPr>
      <w:r>
        <w:rPr>
          <w:rFonts w:hint="eastAsia" w:ascii="宋体" w:hAnsi="宋体" w:eastAsia="宋体" w:cs="宋体"/>
          <w:spacing w:val="-3"/>
          <w:sz w:val="24"/>
          <w:szCs w:val="24"/>
          <w:lang w:eastAsia="zh-CN"/>
        </w:rPr>
        <w:t>1. 分值及考试时间</w:t>
      </w:r>
    </w:p>
    <w:p w14:paraId="28D551AE">
      <w:pPr>
        <w:pStyle w:val="11"/>
        <w:spacing w:line="360" w:lineRule="auto"/>
        <w:ind w:left="23" w:firstLine="476" w:firstLineChars="200"/>
        <w:rPr>
          <w:rFonts w:hint="eastAsia" w:ascii="宋体" w:hAnsi="宋体" w:eastAsia="宋体" w:cs="宋体"/>
          <w:spacing w:val="-2"/>
          <w:sz w:val="24"/>
          <w:szCs w:val="24"/>
          <w:lang w:eastAsia="zh-CN"/>
        </w:rPr>
      </w:pPr>
      <w:r>
        <w:rPr>
          <w:rFonts w:hint="eastAsia" w:ascii="宋体" w:hAnsi="宋体" w:eastAsia="宋体" w:cs="宋体"/>
          <w:spacing w:val="-1"/>
          <w:sz w:val="24"/>
          <w:szCs w:val="24"/>
          <w:lang w:eastAsia="zh-CN"/>
        </w:rPr>
        <w:t>本科目满分为150分，考试时间180分钟，</w:t>
      </w:r>
      <w:r>
        <w:rPr>
          <w:rFonts w:hint="eastAsia" w:ascii="宋体" w:hAnsi="宋体" w:eastAsia="宋体" w:cs="宋体"/>
          <w:spacing w:val="-40"/>
          <w:sz w:val="24"/>
          <w:szCs w:val="24"/>
          <w:lang w:eastAsia="zh-CN"/>
        </w:rPr>
        <w:t xml:space="preserve"> </w:t>
      </w:r>
      <w:r>
        <w:rPr>
          <w:rFonts w:hint="eastAsia" w:ascii="宋体" w:hAnsi="宋体" w:eastAsia="宋体" w:cs="宋体"/>
          <w:spacing w:val="-1"/>
          <w:sz w:val="24"/>
          <w:szCs w:val="24"/>
          <w:lang w:eastAsia="zh-CN"/>
        </w:rPr>
        <w:t>考试方式为闭卷</w:t>
      </w:r>
      <w:r>
        <w:rPr>
          <w:rFonts w:hint="eastAsia" w:ascii="宋体" w:hAnsi="宋体" w:eastAsia="宋体" w:cs="宋体"/>
          <w:spacing w:val="-2"/>
          <w:sz w:val="24"/>
          <w:szCs w:val="24"/>
          <w:lang w:eastAsia="zh-CN"/>
        </w:rPr>
        <w:t>。</w:t>
      </w:r>
    </w:p>
    <w:p w14:paraId="1AAB424D">
      <w:pPr>
        <w:pStyle w:val="11"/>
        <w:numPr>
          <w:ilvl w:val="0"/>
          <w:numId w:val="1"/>
        </w:numPr>
        <w:spacing w:line="360" w:lineRule="auto"/>
        <w:ind w:left="23" w:firstLine="476" w:firstLineChars="200"/>
        <w:rPr>
          <w:rFonts w:hint="eastAsia" w:ascii="宋体" w:hAnsi="宋体" w:eastAsia="宋体" w:cs="宋体"/>
          <w:sz w:val="24"/>
          <w:szCs w:val="24"/>
          <w:lang w:eastAsia="zh-CN"/>
        </w:rPr>
      </w:pPr>
      <w:r>
        <w:rPr>
          <w:rFonts w:hint="eastAsia" w:ascii="宋体" w:hAnsi="宋体" w:eastAsia="宋体" w:cs="宋体"/>
          <w:spacing w:val="-1"/>
          <w:sz w:val="24"/>
          <w:szCs w:val="24"/>
        </w:rPr>
        <w:t>试卷题型结构</w:t>
      </w:r>
    </w:p>
    <w:p w14:paraId="371B3F64">
      <w:pPr>
        <w:pStyle w:val="11"/>
        <w:spacing w:line="360" w:lineRule="auto"/>
        <w:ind w:left="26" w:right="126"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rPr>
        <w:t>名词解释</w:t>
      </w:r>
      <w:r>
        <w:rPr>
          <w:rFonts w:hint="eastAsia" w:ascii="宋体" w:hAnsi="宋体" w:eastAsia="宋体" w:cs="宋体"/>
          <w:spacing w:val="-2"/>
          <w:sz w:val="24"/>
          <w:szCs w:val="24"/>
          <w:lang w:eastAsia="zh-CN"/>
        </w:rPr>
        <w:t>（40分）</w:t>
      </w:r>
    </w:p>
    <w:p w14:paraId="2B5BBABE">
      <w:pPr>
        <w:pStyle w:val="11"/>
        <w:spacing w:line="360" w:lineRule="auto"/>
        <w:ind w:left="26" w:right="126"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rPr>
        <w:t>简答题</w:t>
      </w:r>
      <w:r>
        <w:rPr>
          <w:rFonts w:hint="eastAsia" w:ascii="宋体" w:hAnsi="宋体" w:eastAsia="宋体" w:cs="宋体"/>
          <w:spacing w:val="-2"/>
          <w:sz w:val="24"/>
          <w:szCs w:val="24"/>
          <w:lang w:eastAsia="zh-CN"/>
        </w:rPr>
        <w:t>（60分）</w:t>
      </w:r>
    </w:p>
    <w:p w14:paraId="7917D593">
      <w:pPr>
        <w:pStyle w:val="11"/>
        <w:spacing w:line="360" w:lineRule="auto"/>
        <w:ind w:left="26" w:right="126" w:firstLine="472" w:firstLineChars="200"/>
        <w:rPr>
          <w:rFonts w:hint="eastAsia" w:ascii="宋体" w:hAnsi="宋体" w:eastAsia="宋体" w:cs="宋体"/>
          <w:sz w:val="24"/>
          <w:szCs w:val="24"/>
        </w:rPr>
      </w:pPr>
      <w:r>
        <w:rPr>
          <w:rFonts w:hint="eastAsia" w:ascii="宋体" w:hAnsi="宋体" w:eastAsia="宋体" w:cs="宋体"/>
          <w:spacing w:val="-2"/>
          <w:sz w:val="24"/>
          <w:szCs w:val="24"/>
        </w:rPr>
        <w:t>论述题</w:t>
      </w:r>
      <w:r>
        <w:rPr>
          <w:rFonts w:hint="eastAsia" w:ascii="宋体" w:hAnsi="宋体" w:eastAsia="宋体" w:cs="宋体"/>
          <w:spacing w:val="-2"/>
          <w:sz w:val="24"/>
          <w:szCs w:val="24"/>
          <w:lang w:eastAsia="zh-CN"/>
        </w:rPr>
        <w:t>与案例题（50分）</w:t>
      </w:r>
    </w:p>
    <w:p w14:paraId="22695E57">
      <w:pPr>
        <w:pStyle w:val="11"/>
        <w:spacing w:line="360" w:lineRule="auto"/>
        <w:ind w:left="499"/>
        <w:rPr>
          <w:rFonts w:hint="eastAsia" w:ascii="宋体" w:hAnsi="宋体" w:eastAsia="宋体" w:cs="宋体"/>
          <w:b/>
          <w:bCs/>
          <w:spacing w:val="-1"/>
          <w:sz w:val="24"/>
          <w:szCs w:val="24"/>
          <w:lang w:eastAsia="zh-CN"/>
        </w:rPr>
      </w:pPr>
      <w:r>
        <w:rPr>
          <w:rFonts w:hint="eastAsia" w:ascii="宋体" w:hAnsi="宋体" w:eastAsia="宋体" w:cs="宋体"/>
          <w:b/>
          <w:bCs/>
          <w:spacing w:val="-1"/>
          <w:sz w:val="24"/>
          <w:szCs w:val="24"/>
          <w:lang w:eastAsia="zh-CN"/>
        </w:rPr>
        <w:t>三、考查的知识范围</w:t>
      </w:r>
    </w:p>
    <w:p w14:paraId="3F5505D9">
      <w:pPr>
        <w:pStyle w:val="11"/>
        <w:spacing w:line="360" w:lineRule="auto"/>
        <w:ind w:left="23" w:firstLine="460" w:firstLineChars="200"/>
        <w:rPr>
          <w:rFonts w:hint="eastAsia" w:ascii="宋体" w:hAnsi="宋体" w:eastAsia="宋体" w:cs="宋体"/>
          <w:sz w:val="24"/>
          <w:szCs w:val="24"/>
          <w:lang w:eastAsia="zh-CN"/>
        </w:rPr>
      </w:pPr>
      <w:r>
        <w:rPr>
          <w:rFonts w:hint="eastAsia" w:ascii="宋体" w:hAnsi="宋体" w:eastAsia="宋体" w:cs="宋体"/>
          <w:spacing w:val="-5"/>
          <w:sz w:val="24"/>
          <w:szCs w:val="24"/>
          <w:lang w:eastAsia="zh-CN"/>
        </w:rPr>
        <w:t>根据教指委《全国社会工作硕士（MSW）考试指导范围》的要求，社会工作</w:t>
      </w:r>
      <w:r>
        <w:rPr>
          <w:rFonts w:hint="eastAsia" w:ascii="宋体" w:hAnsi="宋体" w:eastAsia="宋体" w:cs="宋体"/>
          <w:spacing w:val="-6"/>
          <w:sz w:val="24"/>
          <w:szCs w:val="24"/>
          <w:lang w:eastAsia="zh-CN"/>
        </w:rPr>
        <w:t>实务科目的考试内容包括社会工作实务方法与社会调查研究方法两部分知识。</w:t>
      </w:r>
    </w:p>
    <w:p w14:paraId="3BCE324B">
      <w:pPr>
        <w:pStyle w:val="11"/>
        <w:spacing w:line="360" w:lineRule="auto"/>
        <w:ind w:firstLine="478" w:firstLineChars="200"/>
        <w:rPr>
          <w:rFonts w:hint="eastAsia" w:ascii="宋体" w:hAnsi="宋体" w:eastAsia="宋体" w:cs="宋体"/>
          <w:b/>
          <w:bCs/>
          <w:sz w:val="24"/>
          <w:szCs w:val="24"/>
          <w:lang w:eastAsia="zh-CN"/>
        </w:rPr>
      </w:pPr>
      <w:r>
        <w:rPr>
          <w:rFonts w:hint="eastAsia" w:ascii="宋体" w:hAnsi="宋体" w:eastAsia="宋体" w:cs="宋体"/>
          <w:b/>
          <w:bCs/>
          <w:spacing w:val="-1"/>
          <w:sz w:val="24"/>
          <w:szCs w:val="24"/>
          <w:lang w:eastAsia="zh-CN"/>
        </w:rPr>
        <w:t>第一部分：社会工作实务方法</w:t>
      </w:r>
    </w:p>
    <w:p w14:paraId="706C46A1">
      <w:pPr>
        <w:pStyle w:val="11"/>
        <w:spacing w:line="360" w:lineRule="auto"/>
        <w:ind w:left="21" w:right="127" w:firstLine="472" w:firstLineChars="200"/>
        <w:jc w:val="both"/>
        <w:rPr>
          <w:rFonts w:hint="eastAsia" w:ascii="宋体" w:hAnsi="宋体" w:eastAsia="宋体" w:cs="宋体"/>
          <w:sz w:val="24"/>
          <w:szCs w:val="24"/>
          <w:lang w:eastAsia="zh-CN"/>
        </w:rPr>
      </w:pPr>
      <w:r>
        <w:rPr>
          <w:rFonts w:hint="eastAsia" w:ascii="宋体" w:hAnsi="宋体" w:eastAsia="宋体" w:cs="宋体"/>
          <w:spacing w:val="-2"/>
          <w:sz w:val="24"/>
          <w:szCs w:val="24"/>
          <w:lang w:eastAsia="zh-CN"/>
        </w:rPr>
        <w:t>考生需了解社会工作实务的意义，掌握个案工作、小组工作、社区工作等实务方法的涵义与适用范围，把握社会行政与社会政策的基本理论与方法，掌握不同实务领域内社会工作的主要内容和方法。</w:t>
      </w:r>
    </w:p>
    <w:p w14:paraId="04DE7119">
      <w:pPr>
        <w:pStyle w:val="11"/>
        <w:numPr>
          <w:ilvl w:val="0"/>
          <w:numId w:val="2"/>
        </w:num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个案工作：个案工作的涵义与特点、个案工作的理论与主要模式、个案工作的原则和技巧、个案管理。</w:t>
      </w:r>
    </w:p>
    <w:p w14:paraId="64A5810E">
      <w:pPr>
        <w:pStyle w:val="11"/>
        <w:numPr>
          <w:ilvl w:val="0"/>
          <w:numId w:val="2"/>
        </w:num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小组工作：小组工作的涵义与特点、小组工作的理论和主要模式、小组工作的发展阶段、小组工作的原则与技巧。</w:t>
      </w:r>
    </w:p>
    <w:p w14:paraId="3C54E009">
      <w:pPr>
        <w:pStyle w:val="11"/>
        <w:numPr>
          <w:ilvl w:val="0"/>
          <w:numId w:val="2"/>
        </w:num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社区工作：社区工作的涵义与特点、社区工作的主要模式、社区工作的技巧、我国的社区工作。</w:t>
      </w:r>
    </w:p>
    <w:p w14:paraId="1F238CF7">
      <w:pPr>
        <w:pStyle w:val="11"/>
        <w:numPr>
          <w:ilvl w:val="0"/>
          <w:numId w:val="2"/>
        </w:num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社会行政：社会行政的涵义与功能、社会行政的内容、社会服务评估。</w:t>
      </w:r>
    </w:p>
    <w:p w14:paraId="31E3B573">
      <w:pPr>
        <w:pStyle w:val="11"/>
        <w:numPr>
          <w:ilvl w:val="0"/>
          <w:numId w:val="2"/>
        </w:num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社会政策：社会政策的含义与类型、社会政策的基本理论、社会政策的制定与实施、我国的主要社会政策基本原理。</w:t>
      </w:r>
    </w:p>
    <w:p w14:paraId="07B4CED4">
      <w:pPr>
        <w:pStyle w:val="11"/>
        <w:numPr>
          <w:ilvl w:val="0"/>
          <w:numId w:val="2"/>
        </w:num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社会工作实务的通用过程：接案、预估、计划、介入、评估和结案。</w:t>
      </w:r>
    </w:p>
    <w:p w14:paraId="3E6F4A85">
      <w:pPr>
        <w:pStyle w:val="11"/>
        <w:numPr>
          <w:ilvl w:val="0"/>
          <w:numId w:val="2"/>
        </w:num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儿童社会工作、青少年社会工作、老年社会工作、妇女社会工作、残疾人社会工作、新就业群体社会工作以及家庭、学校、社区、医务、企业、人民信访工作、基层治理和基层政权建设、社会救助、司法、退役军人事务领域及其他相关领域社会工作的特点、主要内容和主要方法。</w:t>
      </w:r>
    </w:p>
    <w:p w14:paraId="4E8AB04D">
      <w:pPr>
        <w:shd w:val="clear" w:color="auto" w:fill="FFFFFF"/>
        <w:jc w:val="both"/>
        <w:rPr>
          <w:rFonts w:hint="eastAsia" w:ascii="宋体" w:hAnsi="宋体" w:eastAsia="宋体" w:cs="宋体"/>
          <w:spacing w:val="-2"/>
          <w:sz w:val="24"/>
          <w:szCs w:val="24"/>
          <w:lang w:eastAsia="zh-CN"/>
        </w:rPr>
      </w:pPr>
    </w:p>
    <w:p w14:paraId="399A4799">
      <w:pPr>
        <w:pStyle w:val="11"/>
        <w:spacing w:line="360" w:lineRule="auto"/>
        <w:ind w:left="22" w:firstLine="478" w:firstLineChars="200"/>
        <w:rPr>
          <w:rFonts w:hint="eastAsia" w:ascii="宋体" w:hAnsi="宋体" w:eastAsia="宋体" w:cs="宋体"/>
          <w:b/>
          <w:bCs/>
          <w:sz w:val="24"/>
          <w:szCs w:val="24"/>
          <w:lang w:eastAsia="zh-CN"/>
        </w:rPr>
      </w:pPr>
      <w:r>
        <w:rPr>
          <w:rFonts w:hint="eastAsia" w:ascii="宋体" w:hAnsi="宋体" w:eastAsia="宋体" w:cs="宋体"/>
          <w:b/>
          <w:bCs/>
          <w:spacing w:val="-1"/>
          <w:sz w:val="24"/>
          <w:szCs w:val="24"/>
          <w:lang w:eastAsia="zh-CN"/>
        </w:rPr>
        <w:t>第二部分：社会调查研究方法</w:t>
      </w:r>
    </w:p>
    <w:p w14:paraId="6EB99950">
      <w:pPr>
        <w:pStyle w:val="11"/>
        <w:spacing w:line="360" w:lineRule="auto"/>
        <w:ind w:left="23" w:right="7" w:firstLine="472" w:firstLineChars="200"/>
        <w:rPr>
          <w:rFonts w:hint="eastAsia" w:ascii="宋体" w:hAnsi="宋体" w:eastAsia="宋体" w:cs="宋体"/>
          <w:spacing w:val="-1"/>
          <w:sz w:val="24"/>
          <w:szCs w:val="24"/>
          <w:lang w:eastAsia="zh-CN"/>
        </w:rPr>
      </w:pPr>
      <w:r>
        <w:rPr>
          <w:rFonts w:hint="eastAsia" w:ascii="宋体" w:hAnsi="宋体" w:eastAsia="宋体" w:cs="宋体"/>
          <w:spacing w:val="-2"/>
          <w:sz w:val="24"/>
          <w:szCs w:val="24"/>
          <w:lang w:eastAsia="zh-CN"/>
        </w:rPr>
        <w:t>考生需了解社会科学研究的科学过程、具体的调查设计与实施方法、资料分析的方法及报告撰写等</w:t>
      </w:r>
      <w:r>
        <w:rPr>
          <w:rFonts w:hint="eastAsia" w:ascii="宋体" w:hAnsi="宋体" w:eastAsia="宋体" w:cs="宋体"/>
          <w:spacing w:val="-1"/>
          <w:sz w:val="24"/>
          <w:szCs w:val="24"/>
          <w:lang w:eastAsia="zh-CN"/>
        </w:rPr>
        <w:t>。</w:t>
      </w:r>
    </w:p>
    <w:p w14:paraId="613B7F02">
      <w:pPr>
        <w:pStyle w:val="11"/>
        <w:numPr>
          <w:ilvl w:val="0"/>
          <w:numId w:val="3"/>
        </w:num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社会调查研究的主要过程与内容：调查研究的主要阶段、研究的单位与研究内容。</w:t>
      </w:r>
    </w:p>
    <w:p w14:paraId="42844DC3">
      <w:pPr>
        <w:pStyle w:val="11"/>
        <w:numPr>
          <w:ilvl w:val="0"/>
          <w:numId w:val="3"/>
        </w:num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定量研究方法：测量的水平、概念的操作化、信度与效度，概率抽样与非概率抽样、问卷调查方法与实验法、变量的统计描述与分析。</w:t>
      </w:r>
    </w:p>
    <w:p w14:paraId="68A80A1A">
      <w:pPr>
        <w:pStyle w:val="11"/>
        <w:numPr>
          <w:ilvl w:val="0"/>
          <w:numId w:val="3"/>
        </w:num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定性研究方法：定性研究方法的特点、访谈法、焦点小组、观察法等方法。</w:t>
      </w:r>
    </w:p>
    <w:p w14:paraId="1198869A">
      <w:pPr>
        <w:pStyle w:val="11"/>
        <w:numPr>
          <w:ilvl w:val="0"/>
          <w:numId w:val="3"/>
        </w:num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撰写研究报告：研究报告的类型与结构、研究报告的写作。</w:t>
      </w:r>
    </w:p>
    <w:p w14:paraId="23707ECA">
      <w:pPr>
        <w:pStyle w:val="11"/>
        <w:spacing w:line="360" w:lineRule="auto"/>
        <w:ind w:left="23" w:right="7" w:firstLine="476" w:firstLineChars="200"/>
        <w:rPr>
          <w:rFonts w:hint="eastAsia" w:ascii="宋体" w:hAnsi="宋体" w:eastAsia="宋体" w:cs="宋体"/>
          <w:spacing w:val="-1"/>
          <w:sz w:val="24"/>
          <w:szCs w:val="24"/>
          <w:lang w:eastAsia="zh-CN"/>
        </w:rPr>
      </w:pPr>
    </w:p>
    <w:p w14:paraId="2DBCD1BE">
      <w:pPr>
        <w:pStyle w:val="11"/>
        <w:spacing w:line="360" w:lineRule="auto"/>
        <w:ind w:left="21" w:right="127" w:firstLine="474" w:firstLineChars="200"/>
        <w:jc w:val="both"/>
        <w:rPr>
          <w:rFonts w:hint="eastAsia" w:ascii="宋体" w:hAnsi="宋体" w:eastAsia="宋体" w:cs="宋体"/>
          <w:b/>
          <w:bCs/>
          <w:spacing w:val="-2"/>
          <w:sz w:val="24"/>
          <w:szCs w:val="24"/>
        </w:rPr>
      </w:pPr>
      <w:r>
        <w:rPr>
          <w:rFonts w:ascii="宋体" w:hAnsi="宋体" w:eastAsia="宋体" w:cs="宋体"/>
          <w:b/>
          <w:bCs/>
          <w:spacing w:val="-2"/>
          <w:sz w:val="24"/>
          <w:szCs w:val="24"/>
        </w:rPr>
        <w:t>四、主要参考书目</w:t>
      </w:r>
    </w:p>
    <w:p w14:paraId="3FC72F01">
      <w:pPr>
        <w:pStyle w:val="11"/>
        <w:numPr>
          <w:ilvl w:val="0"/>
          <w:numId w:val="4"/>
        </w:num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许莉娅：《个案工作》，高等教育出版社2013年。</w:t>
      </w:r>
    </w:p>
    <w:p w14:paraId="5763100E">
      <w:pPr>
        <w:pStyle w:val="11"/>
        <w:numPr>
          <w:ilvl w:val="0"/>
          <w:numId w:val="4"/>
        </w:num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刘梦：《小组工作》，高等教育出版社2013年。</w:t>
      </w:r>
    </w:p>
    <w:p w14:paraId="0E6BC8FF">
      <w:pPr>
        <w:pStyle w:val="11"/>
        <w:numPr>
          <w:ilvl w:val="0"/>
          <w:numId w:val="4"/>
        </w:num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徐永祥：《社区工作》，高等教育出版社2004年。</w:t>
      </w:r>
    </w:p>
    <w:p w14:paraId="580AA54B">
      <w:pPr>
        <w:pStyle w:val="11"/>
        <w:numPr>
          <w:ilvl w:val="0"/>
          <w:numId w:val="4"/>
        </w:num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王思斌：《社会行政》，高等教育出版社2013年。</w:t>
      </w:r>
    </w:p>
    <w:p w14:paraId="2B74131A">
      <w:pPr>
        <w:pStyle w:val="11"/>
        <w:numPr>
          <w:ilvl w:val="0"/>
          <w:numId w:val="4"/>
        </w:num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关信平：《社会政策概论》，高等教育出版社2025年。</w:t>
      </w:r>
    </w:p>
    <w:p w14:paraId="1F0D92A8">
      <w:pPr>
        <w:pStyle w:val="11"/>
        <w:numPr>
          <w:ilvl w:val="0"/>
          <w:numId w:val="4"/>
        </w:num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风笑天：《社会研究方法》，中国人民大学出版社2022年。</w:t>
      </w:r>
    </w:p>
    <w:p w14:paraId="66BFF213">
      <w:pPr>
        <w:pStyle w:val="11"/>
        <w:spacing w:line="360" w:lineRule="auto"/>
        <w:ind w:left="420" w:leftChars="200"/>
        <w:rPr>
          <w:rFonts w:hint="eastAsia" w:ascii="宋体" w:hAnsi="宋体" w:eastAsia="宋体" w:cs="宋体"/>
          <w:spacing w:val="-1"/>
          <w:sz w:val="24"/>
          <w:szCs w:val="24"/>
          <w:lang w:eastAsia="zh-CN"/>
        </w:rPr>
      </w:pPr>
    </w:p>
    <w:p w14:paraId="30C42943">
      <w:pPr>
        <w:rPr>
          <w:rFonts w:hint="eastAsia"/>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PingFang SC">
    <w:altName w:val="微软雅黑"/>
    <w:panose1 w:val="00000000000000000000"/>
    <w:charset w:val="86"/>
    <w:family w:val="auto"/>
    <w:pitch w:val="default"/>
    <w:sig w:usb0="00000000" w:usb1="00000000" w:usb2="00000017"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A65D4"/>
    <w:multiLevelType w:val="singleLevel"/>
    <w:tmpl w:val="DFFA65D4"/>
    <w:lvl w:ilvl="0" w:tentative="0">
      <w:start w:val="1"/>
      <w:numFmt w:val="decimal"/>
      <w:suff w:val="space"/>
      <w:lvlText w:val="%1."/>
      <w:lvlJc w:val="left"/>
    </w:lvl>
  </w:abstractNum>
  <w:abstractNum w:abstractNumId="1">
    <w:nsid w:val="F67CAD65"/>
    <w:multiLevelType w:val="singleLevel"/>
    <w:tmpl w:val="F67CAD65"/>
    <w:lvl w:ilvl="0" w:tentative="0">
      <w:start w:val="2"/>
      <w:numFmt w:val="decimal"/>
      <w:suff w:val="space"/>
      <w:lvlText w:val="%1."/>
      <w:lvlJc w:val="left"/>
    </w:lvl>
  </w:abstractNum>
  <w:abstractNum w:abstractNumId="2">
    <w:nsid w:val="FE7EA40A"/>
    <w:multiLevelType w:val="singleLevel"/>
    <w:tmpl w:val="FE7EA40A"/>
    <w:lvl w:ilvl="0" w:tentative="0">
      <w:start w:val="1"/>
      <w:numFmt w:val="decimal"/>
      <w:suff w:val="space"/>
      <w:lvlText w:val="%1."/>
      <w:lvlJc w:val="left"/>
    </w:lvl>
  </w:abstractNum>
  <w:abstractNum w:abstractNumId="3">
    <w:nsid w:val="FEB63C13"/>
    <w:multiLevelType w:val="singleLevel"/>
    <w:tmpl w:val="FEB63C13"/>
    <w:lvl w:ilvl="0" w:tentative="0">
      <w:start w:val="1"/>
      <w:numFmt w:val="decimal"/>
      <w:suff w:val="space"/>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17F"/>
    <w:rsid w:val="001E021F"/>
    <w:rsid w:val="003A19C2"/>
    <w:rsid w:val="00610358"/>
    <w:rsid w:val="0069317F"/>
    <w:rsid w:val="006C20C3"/>
    <w:rsid w:val="0085495C"/>
    <w:rsid w:val="00C1472A"/>
    <w:rsid w:val="2C537E01"/>
    <w:rsid w:val="322A68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14:ligatures w14:val="none"/>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38"/>
    <w:semiHidden/>
    <w:qFormat/>
    <w:uiPriority w:val="0"/>
    <w:rPr>
      <w:rFonts w:ascii="PingFang SC" w:hAnsi="PingFang SC" w:eastAsia="PingFang SC" w:cs="PingFang SC"/>
    </w:rPr>
  </w:style>
  <w:style w:type="paragraph" w:styleId="12">
    <w:name w:val="footer"/>
    <w:basedOn w:val="1"/>
    <w:link w:val="37"/>
    <w:unhideWhenUsed/>
    <w:uiPriority w:val="99"/>
    <w:pPr>
      <w:tabs>
        <w:tab w:val="center" w:pos="4153"/>
        <w:tab w:val="right" w:pos="8306"/>
      </w:tabs>
    </w:pPr>
    <w:rPr>
      <w:sz w:val="18"/>
      <w:szCs w:val="18"/>
    </w:rPr>
  </w:style>
  <w:style w:type="paragraph" w:styleId="13">
    <w:name w:val="header"/>
    <w:basedOn w:val="1"/>
    <w:link w:val="36"/>
    <w:unhideWhenUsed/>
    <w:qFormat/>
    <w:uiPriority w:val="99"/>
    <w:pPr>
      <w:tabs>
        <w:tab w:val="center" w:pos="4153"/>
        <w:tab w:val="right" w:pos="8306"/>
      </w:tabs>
      <w:jc w:val="center"/>
    </w:pPr>
    <w:rPr>
      <w:sz w:val="18"/>
      <w:szCs w:val="18"/>
    </w:rPr>
  </w:style>
  <w:style w:type="paragraph" w:styleId="14">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5"/>
    <w:semiHidden/>
    <w:qFormat/>
    <w:uiPriority w:val="9"/>
    <w:rPr>
      <w:rFonts w:cstheme="majorBidi"/>
      <w:color w:val="104862" w:themeColor="accent1" w:themeShade="BF"/>
      <w:sz w:val="28"/>
      <w:szCs w:val="28"/>
    </w:rPr>
  </w:style>
  <w:style w:type="character" w:customStyle="1" w:styleId="22">
    <w:name w:val="标题 5 字符"/>
    <w:basedOn w:val="17"/>
    <w:link w:val="6"/>
    <w:semiHidden/>
    <w:qFormat/>
    <w:uiPriority w:val="9"/>
    <w:rPr>
      <w:rFonts w:cstheme="majorBidi"/>
      <w:color w:val="104862" w:themeColor="accent1" w:themeShade="BF"/>
      <w:sz w:val="24"/>
      <w:szCs w:val="24"/>
    </w:rPr>
  </w:style>
  <w:style w:type="character" w:customStyle="1" w:styleId="23">
    <w:name w:val="标题 6 字符"/>
    <w:basedOn w:val="17"/>
    <w:link w:val="7"/>
    <w:semiHidden/>
    <w:qFormat/>
    <w:uiPriority w:val="9"/>
    <w:rPr>
      <w:rFonts w:cstheme="majorBidi"/>
      <w:b/>
      <w:bCs/>
      <w:color w:val="104862"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7"/>
    <w:link w:val="33"/>
    <w:qFormat/>
    <w:uiPriority w:val="30"/>
    <w:rPr>
      <w:i/>
      <w:iCs/>
      <w:color w:val="104862" w:themeColor="accent1" w:themeShade="BF"/>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页眉 字符"/>
    <w:basedOn w:val="17"/>
    <w:link w:val="13"/>
    <w:qFormat/>
    <w:uiPriority w:val="99"/>
    <w:rPr>
      <w:sz w:val="18"/>
      <w:szCs w:val="18"/>
    </w:rPr>
  </w:style>
  <w:style w:type="character" w:customStyle="1" w:styleId="37">
    <w:name w:val="页脚 字符"/>
    <w:basedOn w:val="17"/>
    <w:link w:val="12"/>
    <w:qFormat/>
    <w:uiPriority w:val="99"/>
    <w:rPr>
      <w:sz w:val="18"/>
      <w:szCs w:val="18"/>
    </w:rPr>
  </w:style>
  <w:style w:type="character" w:customStyle="1" w:styleId="38">
    <w:name w:val="正文文本 字符"/>
    <w:basedOn w:val="17"/>
    <w:link w:val="11"/>
    <w:semiHidden/>
    <w:qFormat/>
    <w:uiPriority w:val="0"/>
    <w:rPr>
      <w:rFonts w:ascii="PingFang SC" w:hAnsi="PingFang SC" w:eastAsia="PingFang SC" w:cs="PingFang SC"/>
      <w:snapToGrid w:val="0"/>
      <w:color w:val="000000"/>
      <w:kern w:val="0"/>
      <w:szCs w:val="21"/>
      <w:lang w:eastAsia="en-US"/>
      <w14:ligatures w14: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1108</Words>
  <Characters>1138</Characters>
  <Lines>8</Lines>
  <Paragraphs>2</Paragraphs>
  <TotalTime>0</TotalTime>
  <ScaleCrop>false</ScaleCrop>
  <LinksUpToDate>false</LinksUpToDate>
  <CharactersWithSpaces>1140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2026-05-18T08:14:00Z</dcterms:created>
  <dc:creator>Admin</dc:creator>
  <cp:lastModifiedBy>郝曦妍</cp:lastModifiedBy>
  <dcterms:modified xsi:type="dcterms:W3CDTF">2026-06-15T09:46:30Z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eyJoZGlkIjoiNzY0ZTc5MTM3MGFlYTZlNThlOTA5NzVmYmNiNzcwNDgiLCJ1c2VySWQiOiIxNjkyODUxNjM0In0=</vt:lpwstr>
  </property>
  <property fmtid="{D5CDD505-2E9C-101B-9397-08002B2CF9AE}" pid="3" name="KSOProductBuildVer">
    <vt:lpwstr>2052-12.1.0.23125</vt:lpwstr>
  </property>
  <property fmtid="{D5CDD505-2E9C-101B-9397-08002B2CF9AE}" pid="4" name="ICV">
    <vt:lpwstr>38BE2D1D8ED14C94901E25C49F0227B0_12</vt:lpwstr>
  </property>
</Properties>
</file>