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4F691" w14:textId="77777777" w:rsidR="003145F1" w:rsidRDefault="00000000">
      <w:pPr>
        <w:pStyle w:val="1"/>
        <w:spacing w:before="240" w:after="240" w:line="336" w:lineRule="auto"/>
        <w:jc w:val="center"/>
        <w:rPr>
          <w:lang w:eastAsia="zh-CN"/>
        </w:rPr>
      </w:pPr>
      <w:r>
        <w:rPr>
          <w:rFonts w:ascii="宋体" w:eastAsia="宋体" w:hAnsi="宋体" w:cs="宋体" w:hint="eastAsia"/>
          <w:color w:val="1F3864"/>
          <w:sz w:val="40"/>
          <w:lang w:eastAsia="zh-CN"/>
        </w:rPr>
        <w:t>- 数字经济专业基础</w:t>
      </w:r>
    </w:p>
    <w:p w14:paraId="1FED90E4" w14:textId="77777777" w:rsidR="003145F1" w:rsidRDefault="00000000">
      <w:pPr>
        <w:pStyle w:val="21"/>
        <w:rPr>
          <w:rFonts w:ascii="宋体" w:eastAsia="宋体" w:hAnsi="宋体"/>
          <w:sz w:val="21"/>
          <w:szCs w:val="21"/>
          <w:lang w:eastAsia="zh-CN"/>
        </w:rPr>
      </w:pPr>
      <w:r>
        <w:rPr>
          <w:rFonts w:ascii="宋体" w:eastAsia="宋体" w:hAnsi="宋体" w:cs="宋体" w:hint="eastAsia"/>
          <w:sz w:val="21"/>
          <w:szCs w:val="21"/>
          <w:lang w:eastAsia="zh-CN"/>
        </w:rPr>
        <w:t>一、考试性质</w:t>
      </w:r>
    </w:p>
    <w:p w14:paraId="7DCADB54" w14:textId="77777777" w:rsidR="003145F1" w:rsidRDefault="00000000">
      <w:pPr>
        <w:rPr>
          <w:sz w:val="21"/>
          <w:szCs w:val="21"/>
          <w:lang w:eastAsia="zh-CN"/>
        </w:rPr>
      </w:pPr>
      <w:r>
        <w:rPr>
          <w:rFonts w:cs="宋体" w:hint="eastAsia"/>
          <w:sz w:val="21"/>
          <w:szCs w:val="21"/>
          <w:lang w:eastAsia="zh-CN"/>
        </w:rPr>
        <w:t>《数字经济专业基础》是数字经济硕士专业学位研究生入学考试的专业基础科目。</w:t>
      </w:r>
    </w:p>
    <w:p w14:paraId="51492BA1" w14:textId="77777777" w:rsidR="003145F1" w:rsidRDefault="00000000">
      <w:pPr>
        <w:pStyle w:val="21"/>
        <w:rPr>
          <w:rFonts w:ascii="宋体" w:eastAsia="宋体" w:hAnsi="宋体" w:cs="宋体"/>
          <w:sz w:val="21"/>
          <w:szCs w:val="21"/>
          <w:lang w:eastAsia="zh-CN"/>
        </w:rPr>
      </w:pPr>
      <w:r>
        <w:rPr>
          <w:rFonts w:ascii="宋体" w:eastAsia="宋体" w:hAnsi="宋体" w:cs="宋体" w:hint="eastAsia"/>
          <w:sz w:val="21"/>
          <w:szCs w:val="21"/>
          <w:lang w:eastAsia="zh-CN"/>
        </w:rPr>
        <w:t>二、考试目标</w:t>
      </w:r>
    </w:p>
    <w:p w14:paraId="57BADC3C" w14:textId="77777777" w:rsidR="003145F1" w:rsidRDefault="00000000">
      <w:pPr>
        <w:rPr>
          <w:sz w:val="21"/>
          <w:szCs w:val="21"/>
          <w:lang w:eastAsia="zh-CN"/>
        </w:rPr>
      </w:pPr>
      <w:r>
        <w:rPr>
          <w:rFonts w:cs="宋体" w:hint="eastAsia"/>
          <w:sz w:val="21"/>
          <w:szCs w:val="21"/>
          <w:lang w:eastAsia="zh-CN"/>
        </w:rPr>
        <w:t>本考试大纲力求反映数字经济硕士专业学位的特点，科学、公平、准确、规范地测评考生的基本素质和综合能力，选拔具有发展潜力的优秀人才入学，为国家数字经济发展与治理培养具有良好职业操守、国际视野和创新意识，具有较强的跨学科分析问题与解决问题能力的高层次、应用型、复合型数字经济专业人才。</w:t>
      </w:r>
    </w:p>
    <w:p w14:paraId="217F8819" w14:textId="77777777" w:rsidR="003145F1" w:rsidRDefault="00000000">
      <w:pPr>
        <w:rPr>
          <w:sz w:val="21"/>
          <w:szCs w:val="21"/>
          <w:lang w:eastAsia="zh-CN"/>
        </w:rPr>
      </w:pPr>
      <w:r>
        <w:rPr>
          <w:rFonts w:cs="宋体" w:hint="eastAsia"/>
          <w:sz w:val="21"/>
          <w:szCs w:val="21"/>
          <w:lang w:eastAsia="zh-CN"/>
        </w:rPr>
        <w:t>本考试旨在测试考生对于数字经济相关的基本概念、基础理论、基本方法的掌握情况，以及综合运用其分析和解决数字经济现实问题的能力。本考试在三个层次上测试考生对数字经济基本理论与基本规律、微观经济学相关内容、数字技术的经济学分析等知识的掌握程度和运用能力。三个层次的基本要求分别为：</w:t>
      </w:r>
    </w:p>
    <w:p w14:paraId="4CFBB070" w14:textId="77777777" w:rsidR="003145F1" w:rsidRDefault="00000000">
      <w:pPr>
        <w:ind w:firstLine="0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1</w:t>
      </w:r>
      <w:r>
        <w:rPr>
          <w:rFonts w:cs="宋体" w:hint="eastAsia"/>
          <w:sz w:val="21"/>
          <w:szCs w:val="21"/>
          <w:lang w:eastAsia="zh-CN"/>
        </w:rPr>
        <w:t>．熟悉记忆：对微观经济学、数字经济学基本概念、基本规律、基础理论与基本方法的识记方面的考核。</w:t>
      </w:r>
    </w:p>
    <w:p w14:paraId="678FE11B" w14:textId="77777777" w:rsidR="003145F1" w:rsidRDefault="00000000">
      <w:pPr>
        <w:ind w:firstLine="0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2</w:t>
      </w:r>
      <w:r>
        <w:rPr>
          <w:rFonts w:cs="宋体" w:hint="eastAsia"/>
          <w:sz w:val="21"/>
          <w:szCs w:val="21"/>
          <w:lang w:eastAsia="zh-CN"/>
        </w:rPr>
        <w:t>．分析判断：运用数字经济基本理论与方法，分析判断某一具体观点、现象和问题。</w:t>
      </w:r>
    </w:p>
    <w:p w14:paraId="1E139348" w14:textId="77777777" w:rsidR="003145F1" w:rsidRDefault="00000000">
      <w:pPr>
        <w:ind w:firstLine="0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3</w:t>
      </w:r>
      <w:r>
        <w:rPr>
          <w:rFonts w:cs="宋体" w:hint="eastAsia"/>
          <w:sz w:val="21"/>
          <w:szCs w:val="21"/>
          <w:lang w:eastAsia="zh-CN"/>
        </w:rPr>
        <w:t>．综合运用：综合运用数字经济理论与方法，综合分析数字经济领域的具体实践问题。</w:t>
      </w:r>
    </w:p>
    <w:p w14:paraId="08E4C8EB" w14:textId="77777777" w:rsidR="003145F1" w:rsidRDefault="00000000">
      <w:pPr>
        <w:pStyle w:val="21"/>
        <w:rPr>
          <w:rFonts w:ascii="宋体" w:eastAsia="宋体" w:hAnsi="宋体"/>
          <w:sz w:val="21"/>
          <w:szCs w:val="21"/>
          <w:lang w:eastAsia="zh-CN"/>
        </w:rPr>
      </w:pPr>
      <w:r>
        <w:rPr>
          <w:rFonts w:ascii="宋体" w:eastAsia="宋体" w:hAnsi="宋体" w:cs="宋体" w:hint="eastAsia"/>
          <w:sz w:val="21"/>
          <w:szCs w:val="21"/>
          <w:lang w:eastAsia="zh-CN"/>
        </w:rPr>
        <w:t>三、考试形式与试卷结构</w:t>
      </w:r>
    </w:p>
    <w:p w14:paraId="754901B5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</w:pP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1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．试卷满分及考试时间</w:t>
      </w:r>
    </w:p>
    <w:p w14:paraId="0C17E693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</w:pP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本试卷满分为</w:t>
      </w: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150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分，考试时间为</w:t>
      </w: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180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分钟</w:t>
      </w:r>
    </w:p>
    <w:p w14:paraId="7FA74767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</w:pP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2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．答题方式</w:t>
      </w: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 xml:space="preserve"> </w:t>
      </w:r>
    </w:p>
    <w:p w14:paraId="22B62B84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cs="Times new="/>
          <w:color w:val="auto"/>
          <w:sz w:val="21"/>
          <w:szCs w:val="21"/>
          <w:lang w:eastAsia="zh-CN"/>
        </w:rPr>
      </w:pP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答题方式为闭卷、笔试。</w:t>
      </w:r>
      <w:r>
        <w:rPr>
          <w:rFonts w:ascii="Calibri" w:cs="Times new=" w:hint="eastAsia"/>
          <w:color w:val="auto"/>
          <w:sz w:val="21"/>
          <w:szCs w:val="21"/>
          <w:lang w:eastAsia="zh-CN"/>
        </w:rPr>
        <w:t>试卷由试题、答题卡和答题纸组成，选择题和判断题的答案必须涂写在答题卡上，其他题目的答案必须写在答题纸相应的位置上。</w:t>
      </w:r>
    </w:p>
    <w:p w14:paraId="762E2B33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</w:pP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3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．试卷结构</w:t>
      </w:r>
    </w:p>
    <w:p w14:paraId="115DC270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</w:pP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微观经济学的比例约为</w:t>
      </w: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40%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，分值为</w:t>
      </w:r>
      <w:r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  <w:t>60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分；</w:t>
      </w:r>
    </w:p>
    <w:p w14:paraId="020036EA" w14:textId="77777777" w:rsidR="003145F1" w:rsidRDefault="00000000">
      <w:pPr>
        <w:widowControl w:val="0"/>
        <w:spacing w:after="0" w:line="400" w:lineRule="exact"/>
        <w:ind w:firstLineChars="200" w:firstLine="420"/>
        <w:jc w:val="both"/>
        <w:rPr>
          <w:rFonts w:ascii="Calibri" w:hAnsi="Calibri" w:cs="Times New Roman"/>
          <w:color w:val="auto"/>
          <w:kern w:val="2"/>
          <w:sz w:val="21"/>
          <w:szCs w:val="21"/>
          <w:lang w:eastAsia="zh-CN"/>
        </w:rPr>
      </w:pP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数字经济学的比例约为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60%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，分值为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90</w:t>
      </w:r>
      <w:r>
        <w:rPr>
          <w:rFonts w:ascii="Calibri" w:cs="Times New Roman" w:hint="eastAsia"/>
          <w:color w:val="auto"/>
          <w:kern w:val="2"/>
          <w:sz w:val="21"/>
          <w:szCs w:val="21"/>
          <w:lang w:eastAsia="zh-CN"/>
        </w:rPr>
        <w:t>分。</w:t>
      </w:r>
      <w:r>
        <w:rPr>
          <w:rFonts w:ascii="Calibri" w:hAnsi="Calibri" w:cs="Times new=" w:hint="eastAsia"/>
          <w:color w:val="auto"/>
          <w:sz w:val="21"/>
          <w:szCs w:val="21"/>
          <w:lang w:eastAsia="zh-CN"/>
        </w:rPr>
        <w:t xml:space="preserve"> </w:t>
      </w:r>
      <w:r>
        <w:rPr>
          <w:rFonts w:ascii="Calibri" w:hAnsi="Calibri" w:cs="Times new="/>
          <w:color w:val="auto"/>
          <w:sz w:val="21"/>
          <w:szCs w:val="21"/>
          <w:lang w:eastAsia="zh-CN"/>
        </w:rPr>
        <w:t xml:space="preserve">  </w:t>
      </w:r>
    </w:p>
    <w:p w14:paraId="5680DE61" w14:textId="77777777" w:rsidR="003145F1" w:rsidRDefault="00000000">
      <w:pPr>
        <w:pStyle w:val="21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21"/>
          <w:lang w:eastAsia="zh-CN"/>
        </w:rPr>
        <w:t>四、考试内容</w:t>
      </w:r>
    </w:p>
    <w:p w14:paraId="6E49108F" w14:textId="77777777" w:rsidR="003145F1" w:rsidRDefault="00000000">
      <w:pPr>
        <w:pStyle w:val="31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21"/>
          <w:lang w:eastAsia="zh-CN"/>
        </w:rPr>
        <w:t>（一）微观经济学（约占 40%，60 分）</w:t>
      </w:r>
    </w:p>
    <w:p w14:paraId="790FD516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1．需求、供给与市场均衡</w:t>
      </w:r>
    </w:p>
    <w:p w14:paraId="79961184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需求与需求量的变动；供给与供给量的变动；均衡价格与均衡数量的决定；供求变动对均衡的影响；支持价格、限制价格与税收（补贴）的市场效应。</w:t>
      </w:r>
    </w:p>
    <w:p w14:paraId="4A1E7613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lastRenderedPageBreak/>
        <w:t>2．弹性理论</w:t>
      </w:r>
    </w:p>
    <w:p w14:paraId="4965B2BD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需求价格弹性的计算与类型；需求收入弹性；需求交叉弹性；供给价格弹性；影响弹性大小的因素；弹性与总收益的关系；弹性的应用（税收归宿与价格策略）。</w:t>
      </w:r>
    </w:p>
    <w:p w14:paraId="7B80C29C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3．消费者行为理论</w:t>
      </w:r>
    </w:p>
    <w:p w14:paraId="2AB7655D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效用与基数效用论；边际效用递减规律与消费者均衡；无差异曲线与预算约束线；商品的边际替代率；序数效用论下的消费者均衡与需求曲线的推导；替代效应与收入效应；消费者剩余；不确定性条件下的选择与期望效用。</w:t>
      </w:r>
    </w:p>
    <w:p w14:paraId="7EC8DD35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4．生产理论</w:t>
      </w:r>
    </w:p>
    <w:p w14:paraId="677E9814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生产函数与短期、长期生产函数；总产量、平均产量与边际产量的关系；边际报酬递减规律；等产量线与边际技术替代率；最优要素组合；规模报酬。</w:t>
      </w:r>
    </w:p>
    <w:p w14:paraId="3AF7E9A6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5．成本理论</w:t>
      </w:r>
    </w:p>
    <w:p w14:paraId="0627CCAF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机会成本及显性成本与隐性成本；短期成本的分类；总成本、平均成本与边际成本的关系；短期成本曲线的形状；长期成本与长期平均成本曲线；规模经济与范围经济；成本最小化决策。</w:t>
      </w:r>
    </w:p>
    <w:p w14:paraId="16CE9BDA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6．完全竞争市场</w:t>
      </w:r>
    </w:p>
    <w:p w14:paraId="16F75FB8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完全竞争市场的特征；厂商的需求曲线与收益曲线；利润最大化条件；短期均衡与短期供给曲线；生产者剩余；长期均衡与长期供给曲线；完全竞争市场的效率。</w:t>
      </w:r>
    </w:p>
    <w:p w14:paraId="26EF373A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7．完全垄断市场</w:t>
      </w:r>
    </w:p>
    <w:p w14:paraId="7D58C228" w14:textId="7E89A2BD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垄断的成因与进入壁垒；垄断厂商的需求曲线与收益曲线；产量与价格决策；</w:t>
      </w:r>
      <w:r w:rsidR="00257326">
        <w:rPr>
          <w:rFonts w:cs="宋体" w:hint="eastAsia"/>
          <w:sz w:val="21"/>
          <w:lang w:eastAsia="zh-CN"/>
        </w:rPr>
        <w:t>差别定价</w:t>
      </w:r>
      <w:r>
        <w:rPr>
          <w:rFonts w:cs="宋体" w:hint="eastAsia"/>
          <w:sz w:val="21"/>
          <w:lang w:eastAsia="zh-CN"/>
        </w:rPr>
        <w:t>的一级、二级、三级形式及其福利后果；自然垄断与政府规制；垄断的社会成本。</w:t>
      </w:r>
    </w:p>
    <w:p w14:paraId="0D270DDA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8．垄断竞争市场</w:t>
      </w:r>
    </w:p>
    <w:p w14:paraId="6EC8DD18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垄断竞争市场的特征；短期均衡与长期均衡；产品差异化与非价格竞争；广告与品牌的经济学分析；过剩生产能力问题。</w:t>
      </w:r>
    </w:p>
    <w:p w14:paraId="4249C58F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9．寡头市场</w:t>
      </w:r>
    </w:p>
    <w:p w14:paraId="08ABED68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寡头市场的特征与相互依存；古诺模型；斯塔克尔伯格模型；价格领导；卡特尔与合谋的稳定性；市场集中度及其衡量；不同市场结构的效率比较。</w:t>
      </w:r>
    </w:p>
    <w:p w14:paraId="52755986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10．市场失灵与微观经济政策</w:t>
      </w:r>
    </w:p>
    <w:p w14:paraId="41F8D008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外部性与市场低效；庇古税、补贴与科斯定理；公共物品与搭便车问题；信息不对称下的逆向选择与道德风险；委托—代理关系与激励合同设计；反垄断的经济学依据与规制工具。</w:t>
      </w:r>
    </w:p>
    <w:p w14:paraId="47A46392" w14:textId="77777777" w:rsidR="003145F1" w:rsidRDefault="00000000">
      <w:pPr>
        <w:pStyle w:val="31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21"/>
          <w:lang w:eastAsia="zh-CN"/>
        </w:rPr>
        <w:t>（二）数字经济学（约占 60%，90 分）</w:t>
      </w:r>
    </w:p>
    <w:p w14:paraId="504EBCE0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1．基本概念</w:t>
      </w:r>
    </w:p>
    <w:p w14:paraId="14F9A095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数字经济的内涵与界定；数字经济的构成与边界；数字经济的发展脉络与阶段特征；数字经济学的研究对象与研究内容；数字经济与传统经济的区别与联系。</w:t>
      </w:r>
    </w:p>
    <w:p w14:paraId="34E771BA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lastRenderedPageBreak/>
        <w:t>2．网络效应</w:t>
      </w:r>
    </w:p>
    <w:p w14:paraId="473BDC96" w14:textId="3522CB4E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直接网络效应与间接网络效应；网络</w:t>
      </w:r>
      <w:r w:rsidR="00DF7D89">
        <w:rPr>
          <w:rFonts w:cs="宋体" w:hint="eastAsia"/>
          <w:sz w:val="21"/>
          <w:lang w:eastAsia="zh-CN"/>
        </w:rPr>
        <w:t>效应</w:t>
      </w:r>
      <w:r>
        <w:rPr>
          <w:rFonts w:cs="宋体" w:hint="eastAsia"/>
          <w:sz w:val="21"/>
          <w:lang w:eastAsia="zh-CN"/>
        </w:rPr>
        <w:t>的来源；梅特卡夫定律及其适用边界；网络效应与临界规模。</w:t>
      </w:r>
    </w:p>
    <w:p w14:paraId="67354D89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3．成本效应</w:t>
      </w:r>
    </w:p>
    <w:p w14:paraId="09A40CD6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固定成本与可变成本结构；边际成本趋零；规模经济与范围经济；长尾效应；成本效应对市场结构的影响。</w:t>
      </w:r>
    </w:p>
    <w:p w14:paraId="30A41DE8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4．我国数字经济的发展战略</w:t>
      </w:r>
    </w:p>
    <w:p w14:paraId="13CB96B6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我国数字经济发展的主要特点与突出优势；我国发展数字经济的主要政策；我国发展数字经济的重要意义。</w:t>
      </w:r>
    </w:p>
    <w:p w14:paraId="24008F0E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5．大数据</w:t>
      </w:r>
    </w:p>
    <w:p w14:paraId="03D972D6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大数据的概念与特征；大数据的经济学分析（作为资源、要素与资产的数据）；大数据的应用场景与商业模式。</w:t>
      </w:r>
    </w:p>
    <w:p w14:paraId="6E5AFBEE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6．人工智能</w:t>
      </w:r>
    </w:p>
    <w:p w14:paraId="552406D5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人工智能与经济学；作为研究工具的人工智能；作为研究对象的人工智能（市场结构、算法合谋与劳动关系）。</w:t>
      </w:r>
    </w:p>
    <w:p w14:paraId="31D6C7CD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7．区块链</w:t>
      </w:r>
    </w:p>
    <w:p w14:paraId="0F12FA8E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比特币与区块链；区块链的基本原理；分布式共识机制；区块链在现实经济中的具体应用。</w:t>
      </w:r>
    </w:p>
    <w:p w14:paraId="55DE4260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8．消费者搜寻与在线市场价格</w:t>
      </w:r>
    </w:p>
    <w:p w14:paraId="4A13750C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消费者搜寻基础知识；消费者在线搜寻的主要特征；在线搜寻对在线市场交易的影响（价格离散、价格水平与竞争程度）。</w:t>
      </w:r>
    </w:p>
    <w:p w14:paraId="52E43F88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9．在线市场的拍卖机制</w:t>
      </w:r>
    </w:p>
    <w:p w14:paraId="1E242A15" w14:textId="30F46DCC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在线市场拍卖的主要形式和发展历史；单物品（英式、荷式、第一价格密封与第二价格拍卖，收入等价定理）；多物品及其效率问题。</w:t>
      </w:r>
    </w:p>
    <w:p w14:paraId="26AB7C9F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10．在线市场的匹配机制</w:t>
      </w:r>
    </w:p>
    <w:p w14:paraId="556D176E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匹配的基本概念；经典匹配理论（稳定匹配与延迟接受算法）；在线市场中的匹配及算法（推荐系统与撮合机制）；算法匹配的效率与公平问题。</w:t>
      </w:r>
    </w:p>
    <w:p w14:paraId="5DA42D02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11．在线市场的声誉机制</w:t>
      </w:r>
    </w:p>
    <w:p w14:paraId="2FDD5ADC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声誉机制与在线市场信用评价系统；声誉机制对在线市场的影响机制；在线市场声誉机制的有效性和缺陷（刷单、评价操纵与信用失真）。</w:t>
      </w:r>
    </w:p>
    <w:p w14:paraId="78AEACAC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12．数字经济中的差别定价</w:t>
      </w:r>
    </w:p>
    <w:p w14:paraId="611F4A42" w14:textId="5930C1BF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数字经济中</w:t>
      </w:r>
      <w:r w:rsidR="00257326">
        <w:rPr>
          <w:rFonts w:cs="宋体" w:hint="eastAsia"/>
          <w:sz w:val="21"/>
          <w:lang w:eastAsia="zh-CN"/>
        </w:rPr>
        <w:t>差别定价</w:t>
      </w:r>
      <w:r>
        <w:rPr>
          <w:rFonts w:cs="宋体" w:hint="eastAsia"/>
          <w:sz w:val="21"/>
          <w:lang w:eastAsia="zh-CN"/>
        </w:rPr>
        <w:t>的特征；</w:t>
      </w:r>
      <w:r w:rsidR="00257326">
        <w:rPr>
          <w:rFonts w:cs="宋体" w:hint="eastAsia"/>
          <w:sz w:val="21"/>
          <w:lang w:eastAsia="zh-CN"/>
        </w:rPr>
        <w:t>差别定价</w:t>
      </w:r>
      <w:r>
        <w:rPr>
          <w:rFonts w:cs="宋体" w:hint="eastAsia"/>
          <w:sz w:val="21"/>
          <w:lang w:eastAsia="zh-CN"/>
        </w:rPr>
        <w:t>的分类；动态定价与个性化定价；差别定价的其他具体行为；数字经济差别定价的福利效应与规制。</w:t>
      </w:r>
    </w:p>
    <w:p w14:paraId="0800DBA8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lastRenderedPageBreak/>
        <w:t>13．信息、广告和隐私保护</w:t>
      </w:r>
    </w:p>
    <w:p w14:paraId="472D17D5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数字经济中的信息不对称；信息与广告（定向广告、广告竞价与搜索引擎排序）；注意力经济；数字经济中的隐私保护与数据保护立法。</w:t>
      </w:r>
    </w:p>
    <w:p w14:paraId="6E1F16BA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14．数字经济中的竞争策略</w:t>
      </w:r>
    </w:p>
    <w:p w14:paraId="4D179DD0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数字经济中的竞争环境与竞争优势来源；典型竞争策略（自我优待、最惠国待遇条款、排他性交易与“二选一”、搭售与捆绑、掠夺性定价、扼杀式收购）；线上—线下竞争：以电子商务市场为例。</w:t>
      </w:r>
    </w:p>
    <w:p w14:paraId="74368CEA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15．数字经济的治理与监管</w:t>
      </w:r>
    </w:p>
    <w:p w14:paraId="54817938" w14:textId="77777777" w:rsidR="003145F1" w:rsidRDefault="00000000">
      <w:pPr>
        <w:rPr>
          <w:rFonts w:cs="宋体"/>
          <w:sz w:val="21"/>
          <w:lang w:eastAsia="zh-CN"/>
        </w:rPr>
      </w:pPr>
      <w:r>
        <w:rPr>
          <w:rFonts w:cs="宋体" w:hint="eastAsia"/>
          <w:sz w:val="21"/>
          <w:lang w:eastAsia="zh-CN"/>
        </w:rPr>
        <w:t>数字经济中的“垄断”与效率；平台治理与平台内竞争秩序；算法治理、数据治理与数字鸿沟；数字经济中的平台责任。</w:t>
      </w:r>
    </w:p>
    <w:p w14:paraId="65D94EF5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16．平台经济学基本概念</w:t>
      </w:r>
    </w:p>
    <w:p w14:paraId="23AAADC6" w14:textId="79A86206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数字经济中的平台；平台</w:t>
      </w:r>
      <w:r w:rsidR="00601EE2">
        <w:rPr>
          <w:rFonts w:cs="宋体" w:hint="eastAsia"/>
          <w:sz w:val="21"/>
          <w:lang w:eastAsia="zh-CN"/>
        </w:rPr>
        <w:t>概念</w:t>
      </w:r>
      <w:r>
        <w:rPr>
          <w:rFonts w:cs="宋体" w:hint="eastAsia"/>
          <w:sz w:val="21"/>
          <w:lang w:eastAsia="zh-CN"/>
        </w:rPr>
        <w:t>（价格结构</w:t>
      </w:r>
      <w:r w:rsidR="00601EE2">
        <w:rPr>
          <w:rFonts w:cs="宋体" w:hint="eastAsia"/>
          <w:sz w:val="21"/>
          <w:lang w:eastAsia="zh-CN"/>
        </w:rPr>
        <w:t>的非中性</w:t>
      </w:r>
      <w:r>
        <w:rPr>
          <w:rFonts w:cs="宋体" w:hint="eastAsia"/>
          <w:sz w:val="21"/>
          <w:lang w:eastAsia="zh-CN"/>
        </w:rPr>
        <w:t>、交叉补贴与补贴</w:t>
      </w:r>
      <w:r w:rsidR="00601EE2">
        <w:rPr>
          <w:rFonts w:cs="宋体" w:hint="eastAsia"/>
          <w:sz w:val="21"/>
          <w:lang w:eastAsia="zh-CN"/>
        </w:rPr>
        <w:t>对象</w:t>
      </w:r>
      <w:r>
        <w:rPr>
          <w:rFonts w:cs="宋体" w:hint="eastAsia"/>
          <w:sz w:val="21"/>
          <w:lang w:eastAsia="zh-CN"/>
        </w:rPr>
        <w:t>的选择）；平台的市场结构（集中度、进入壁垒与赢者通吃）；用户单归属与多归属。</w:t>
      </w:r>
    </w:p>
    <w:p w14:paraId="1157DAD1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17．平台竞争与相关市场界定</w:t>
      </w:r>
    </w:p>
    <w:p w14:paraId="6E0120D3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平台竞争的特点与竞争约束；相关市场界定的单边界定与双边界定；分侧界定与整体界定；替代性分析方法的适用；市场支配地位的认定。</w:t>
      </w:r>
    </w:p>
    <w:p w14:paraId="77360741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18．数字经济中的反垄断</w:t>
      </w:r>
    </w:p>
    <w:p w14:paraId="44133260" w14:textId="2C7A400D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数字经济反垄断的认定要点；</w:t>
      </w:r>
      <w:r w:rsidR="00663C11">
        <w:rPr>
          <w:rFonts w:cs="宋体" w:hint="eastAsia"/>
          <w:sz w:val="21"/>
          <w:lang w:eastAsia="zh-CN"/>
        </w:rPr>
        <w:t>垄断协议与算法合谋；</w:t>
      </w:r>
      <w:r>
        <w:rPr>
          <w:rFonts w:cs="宋体" w:hint="eastAsia"/>
          <w:sz w:val="21"/>
          <w:lang w:eastAsia="zh-CN"/>
        </w:rPr>
        <w:t>滥用市场支配地位与经营者集中审查；救济措施设计；中国、欧盟、美国反垄断执法的制度比较与典型案件。</w:t>
      </w:r>
    </w:p>
    <w:p w14:paraId="2AFD8BD2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19．数字经济规模核算</w:t>
      </w:r>
    </w:p>
    <w:p w14:paraId="6E833CA7" w14:textId="77777777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数字经济规模核算的范围与方法；核心产业增加值与卫星账户方法；国家统计局《数字经济及其核心产业统计分类（2021）》与中国信息通信研究院口径的比较。</w:t>
      </w:r>
    </w:p>
    <w:p w14:paraId="209D79C0" w14:textId="77777777" w:rsidR="003145F1" w:rsidRDefault="00000000">
      <w:pPr>
        <w:pStyle w:val="4"/>
        <w:rPr>
          <w:i w:val="0"/>
          <w:iCs w:val="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i w:val="0"/>
          <w:iCs w:val="0"/>
          <w:sz w:val="21"/>
          <w:lang w:eastAsia="zh-CN"/>
        </w:rPr>
        <w:t>20．ICT、数据生产要素与经济增长</w:t>
      </w:r>
    </w:p>
    <w:p w14:paraId="321CBE7A" w14:textId="4E49D37B" w:rsidR="003145F1" w:rsidRDefault="00000000">
      <w:pPr>
        <w:rPr>
          <w:lang w:eastAsia="zh-CN"/>
        </w:rPr>
      </w:pPr>
      <w:r>
        <w:rPr>
          <w:rFonts w:cs="宋体" w:hint="eastAsia"/>
          <w:sz w:val="21"/>
          <w:lang w:eastAsia="zh-CN"/>
        </w:rPr>
        <w:t>“新经济”的崛起；ICT 与经济增长的理论发展；数据生产要素的概念、特征与作用；数据要素市场的确权、定价、交易与收益分配。</w:t>
      </w:r>
    </w:p>
    <w:p w14:paraId="22F8D81F" w14:textId="77777777" w:rsidR="003145F1" w:rsidRDefault="003145F1">
      <w:pPr>
        <w:ind w:firstLine="0"/>
        <w:rPr>
          <w:sz w:val="21"/>
          <w:szCs w:val="21"/>
          <w:lang w:eastAsia="zh-CN"/>
        </w:rPr>
      </w:pPr>
    </w:p>
    <w:sectPr w:rsidR="003145F1" w:rsidSect="00034616">
      <w:footerReference w:type="default" r:id="rId7"/>
      <w:pgSz w:w="11906" w:h="16838"/>
      <w:pgMar w:top="1440" w:right="1417" w:bottom="144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142EE" w14:textId="77777777" w:rsidR="00390DEE" w:rsidRDefault="00390DEE">
      <w:pPr>
        <w:spacing w:after="0" w:line="240" w:lineRule="auto"/>
      </w:pPr>
      <w:r>
        <w:separator/>
      </w:r>
    </w:p>
  </w:endnote>
  <w:endnote w:type="continuationSeparator" w:id="0">
    <w:p w14:paraId="3E3DC557" w14:textId="77777777" w:rsidR="00390DEE" w:rsidRDefault="0039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=">
    <w:altName w:val="微软雅黑"/>
    <w:panose1 w:val="020B0604020202020204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AE6F4" w14:textId="77777777" w:rsidR="003145F1" w:rsidRDefault="00000000">
    <w:pPr>
      <w:pStyle w:val="ae"/>
      <w:tabs>
        <w:tab w:val="center" w:pos="4536"/>
        <w:tab w:val="right" w:pos="9072"/>
      </w:tabs>
    </w:pPr>
    <w:r>
      <w:tab/>
      <w:t xml:space="preserve">—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4535E" w14:textId="77777777" w:rsidR="00390DEE" w:rsidRDefault="00390DEE">
      <w:pPr>
        <w:spacing w:after="0" w:line="240" w:lineRule="auto"/>
      </w:pPr>
      <w:r>
        <w:separator/>
      </w:r>
    </w:p>
  </w:footnote>
  <w:footnote w:type="continuationSeparator" w:id="0">
    <w:p w14:paraId="33A517BB" w14:textId="77777777" w:rsidR="00390DEE" w:rsidRDefault="00390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2955676">
    <w:abstractNumId w:val="5"/>
  </w:num>
  <w:num w:numId="2" w16cid:durableId="66264489">
    <w:abstractNumId w:val="2"/>
  </w:num>
  <w:num w:numId="3" w16cid:durableId="276841190">
    <w:abstractNumId w:val="1"/>
  </w:num>
  <w:num w:numId="4" w16cid:durableId="1933467521">
    <w:abstractNumId w:val="4"/>
  </w:num>
  <w:num w:numId="5" w16cid:durableId="680352510">
    <w:abstractNumId w:val="0"/>
  </w:num>
  <w:num w:numId="6" w16cid:durableId="1816875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DCF"/>
    <w:rsid w:val="0015074B"/>
    <w:rsid w:val="00234FCC"/>
    <w:rsid w:val="00257326"/>
    <w:rsid w:val="002810E3"/>
    <w:rsid w:val="0029639D"/>
    <w:rsid w:val="003145F1"/>
    <w:rsid w:val="00326F90"/>
    <w:rsid w:val="00390DEE"/>
    <w:rsid w:val="004B2D36"/>
    <w:rsid w:val="004D47D2"/>
    <w:rsid w:val="00501980"/>
    <w:rsid w:val="0052638D"/>
    <w:rsid w:val="00601EE2"/>
    <w:rsid w:val="00663C11"/>
    <w:rsid w:val="00733860"/>
    <w:rsid w:val="008509E7"/>
    <w:rsid w:val="008817E4"/>
    <w:rsid w:val="00A44848"/>
    <w:rsid w:val="00AA1D8D"/>
    <w:rsid w:val="00B47730"/>
    <w:rsid w:val="00BD46C1"/>
    <w:rsid w:val="00C22F43"/>
    <w:rsid w:val="00CA4509"/>
    <w:rsid w:val="00CB0664"/>
    <w:rsid w:val="00DF7D89"/>
    <w:rsid w:val="00E412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A49C40"/>
  <w15:docId w15:val="{8B9287D3-5869-4F4E-A532-738967EA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4" w:line="326" w:lineRule="auto"/>
      <w:ind w:firstLine="480"/>
    </w:pPr>
    <w:rPr>
      <w:rFonts w:ascii="宋体" w:eastAsia="宋体" w:hAnsi="宋体"/>
      <w:color w:val="1A1A1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64" w:after="144" w:line="286" w:lineRule="auto"/>
      <w:ind w:firstLine="0"/>
      <w:outlineLvl w:val="1"/>
    </w:pPr>
    <w:rPr>
      <w:rFonts w:ascii="黑体" w:eastAsia="黑体" w:hAnsi="黑体"/>
      <w:b/>
      <w:bCs/>
      <w:color w:val="1F3864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4" w:line="286" w:lineRule="auto"/>
      <w:ind w:firstLine="0"/>
      <w:outlineLvl w:val="2"/>
    </w:pPr>
    <w:rPr>
      <w:rFonts w:ascii="黑体" w:eastAsia="黑体" w:hAnsi="黑体"/>
      <w:b/>
      <w:bCs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144" w:line="286" w:lineRule="auto"/>
      <w:ind w:firstLine="0"/>
      <w:outlineLvl w:val="3"/>
    </w:pPr>
    <w:rPr>
      <w:rFonts w:ascii="黑体" w:eastAsia="黑体" w:hAnsi="黑体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a6">
    <w:name w:val="Strong"/>
    <w:basedOn w:val="a2"/>
    <w:uiPriority w:val="22"/>
    <w:qFormat/>
    <w:rsid w:val="00FC693F"/>
    <w:rPr>
      <w:b/>
      <w:bCs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1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7">
    <w:name w:val="Emphasis"/>
    <w:basedOn w:val="a2"/>
    <w:uiPriority w:val="20"/>
    <w:qFormat/>
    <w:rsid w:val="00FC693F"/>
    <w:rPr>
      <w:i/>
      <w:iCs/>
    </w:r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1-20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8">
    <w:name w:val="List Paragraph"/>
    <w:basedOn w:val="a1"/>
    <w:uiPriority w:val="34"/>
    <w:qFormat/>
    <w:rsid w:val="00FC693F"/>
    <w:pPr>
      <w:ind w:left="720"/>
      <w:contextualSpacing/>
    </w:p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-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-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9">
    <w:name w:val="明显引用 字符"/>
    <w:basedOn w:val="a2"/>
    <w:link w:val="aa"/>
    <w:uiPriority w:val="30"/>
    <w:rsid w:val="00FC693F"/>
    <w:rPr>
      <w:b/>
      <w:bCs/>
      <w:i/>
      <w:iCs/>
      <w:color w:val="4F81BD" w:themeColor="accent1"/>
    </w:r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paragraph" w:styleId="2">
    <w:name w:val="List Number 2"/>
    <w:basedOn w:val="a1"/>
    <w:uiPriority w:val="99"/>
    <w:unhideWhenUsed/>
    <w:rsid w:val="0029639D"/>
    <w:pPr>
      <w:numPr>
        <w:numId w:val="3"/>
      </w:numPr>
      <w:contextualSpacing/>
    </w:p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30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ab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2-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-31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c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ad">
    <w:name w:val="页脚 字符"/>
    <w:basedOn w:val="a2"/>
    <w:link w:val="ae"/>
    <w:uiPriority w:val="99"/>
    <w:rsid w:val="00E618BF"/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table" w:styleId="-51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af">
    <w:name w:val="页眉 字符"/>
    <w:basedOn w:val="a2"/>
    <w:link w:val="af0"/>
    <w:uiPriority w:val="99"/>
    <w:rsid w:val="00E618BF"/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33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table" w:styleId="-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styleId="af1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table" w:styleId="25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20">
    <w:name w:val="List Bullet 2"/>
    <w:basedOn w:val="a1"/>
    <w:uiPriority w:val="99"/>
    <w:unhideWhenUsed/>
    <w:rsid w:val="00326F90"/>
    <w:pPr>
      <w:numPr>
        <w:numId w:val="6"/>
      </w:numPr>
      <w:contextualSpacing/>
    </w:pPr>
  </w:style>
  <w:style w:type="paragraph" w:styleId="ae">
    <w:name w:val="footer"/>
    <w:basedOn w:val="a1"/>
    <w:link w:val="ad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-52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2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3">
    <w:name w:val="No Spacing"/>
    <w:uiPriority w:val="1"/>
    <w:qFormat/>
    <w:rsid w:val="00FC693F"/>
    <w:pPr>
      <w:spacing w:after="0" w:line="240" w:lineRule="auto"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a">
    <w:name w:val="Intense Quote"/>
    <w:basedOn w:val="a1"/>
    <w:next w:val="a1"/>
    <w:link w:val="a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-61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10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2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-50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2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0">
    <w:name w:val="List Bullet 3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-32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-4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-21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-53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3">
    <w:name w:val="List Number 3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af6">
    <w:name w:val="Subtitle"/>
    <w:basedOn w:val="a1"/>
    <w:next w:val="a1"/>
    <w:link w:val="af7"/>
    <w:uiPriority w:val="11"/>
    <w:qFormat/>
    <w:rsid w:val="00FC693F"/>
    <w:pPr>
      <w:numPr>
        <w:ilvl w:val="1"/>
      </w:numPr>
      <w:ind w:firstLine="48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3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34">
    <w:name w:val="正文文本 3 字符"/>
    <w:basedOn w:val="a2"/>
    <w:link w:val="35"/>
    <w:uiPriority w:val="99"/>
    <w:rsid w:val="00AA1D8D"/>
    <w:rPr>
      <w:sz w:val="16"/>
      <w:szCs w:val="16"/>
    </w:r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6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-34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26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51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-22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af7">
    <w:name w:val="副标题 字符"/>
    <w:basedOn w:val="a2"/>
    <w:link w:val="af6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Title"/>
    <w:basedOn w:val="a1"/>
    <w:next w:val="a1"/>
    <w:link w:val="af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b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table" w:styleId="-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-31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0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fd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37">
    <w:name w:val="List 3"/>
    <w:basedOn w:val="a1"/>
    <w:uiPriority w:val="99"/>
    <w:unhideWhenUsed/>
    <w:rsid w:val="00326F90"/>
    <w:pPr>
      <w:ind w:left="1080" w:hanging="360"/>
      <w:contextualSpacing/>
    </w:pPr>
  </w:style>
  <w:style w:type="table" w:styleId="2-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35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-54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43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27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character" w:styleId="aff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table" w:styleId="13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aff0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35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table" w:styleId="aff1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ff2">
    <w:name w:val="引用 字符"/>
    <w:basedOn w:val="a2"/>
    <w:link w:val="aff3"/>
    <w:uiPriority w:val="29"/>
    <w:rsid w:val="00FC693F"/>
    <w:rPr>
      <w:i/>
      <w:iCs/>
      <w:color w:val="000000" w:themeColor="text1"/>
    </w:rPr>
  </w:style>
  <w:style w:type="table" w:styleId="1-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8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f5">
    <w:name w:val="宏文本 字符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ff5">
    <w:name w:val="Body Text"/>
    <w:basedOn w:val="a1"/>
    <w:link w:val="aff6"/>
    <w:uiPriority w:val="99"/>
    <w:unhideWhenUsed/>
    <w:rsid w:val="00AA1D8D"/>
    <w:pPr>
      <w:spacing w:after="120"/>
    </w:p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65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aff6">
    <w:name w:val="正文文本 字符"/>
    <w:basedOn w:val="a2"/>
    <w:link w:val="aff5"/>
    <w:uiPriority w:val="99"/>
    <w:rsid w:val="00AA1D8D"/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f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1-1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f3">
    <w:name w:val="Quote"/>
    <w:basedOn w:val="a1"/>
    <w:next w:val="a1"/>
    <w:link w:val="aff2"/>
    <w:uiPriority w:val="29"/>
    <w:qFormat/>
    <w:rsid w:val="00FC693F"/>
    <w:rPr>
      <w:i/>
      <w:iCs/>
      <w:color w:val="000000" w:themeColor="text1"/>
    </w:rPr>
  </w:style>
  <w:style w:type="paragraph" w:styleId="29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24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14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15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af9">
    <w:name w:val="标题 字符"/>
    <w:basedOn w:val="a2"/>
    <w:link w:val="af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8">
    <w:name w:val="List"/>
    <w:basedOn w:val="a1"/>
    <w:uiPriority w:val="99"/>
    <w:unhideWhenUsed/>
    <w:rsid w:val="00AA1D8D"/>
    <w:pPr>
      <w:ind w:left="360" w:hanging="360"/>
      <w:contextualSpacing/>
    </w:p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25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f0">
    <w:name w:val="header"/>
    <w:basedOn w:val="a1"/>
    <w:link w:val="af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5</cp:revision>
  <dcterms:created xsi:type="dcterms:W3CDTF">2026-09-20T21:18:00Z</dcterms:created>
  <dcterms:modified xsi:type="dcterms:W3CDTF">2026-09-29T08:25:00Z</dcterms:modified>
</cp:coreProperties>
</file>