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5C" w:rsidRDefault="003D3928" w:rsidP="007B55F7">
      <w:pPr>
        <w:spacing w:afterLines="100" w:after="312" w:line="360" w:lineRule="auto"/>
        <w:jc w:val="center"/>
        <w:rPr>
          <w:rFonts w:ascii="宋体" w:hAnsi="宋体"/>
          <w:sz w:val="24"/>
          <w:szCs w:val="24"/>
        </w:rPr>
      </w:pPr>
      <w:r>
        <w:rPr>
          <w:rFonts w:ascii="黑体" w:eastAsia="黑体" w:hAnsi="黑体" w:hint="eastAsia"/>
          <w:sz w:val="28"/>
          <w:szCs w:val="28"/>
        </w:rPr>
        <w:t>软件学院硕士生复试方案</w:t>
      </w:r>
    </w:p>
    <w:p w:rsidR="00B30D5C" w:rsidRDefault="003D3928">
      <w:pPr>
        <w:numPr>
          <w:ilvl w:val="0"/>
          <w:numId w:val="1"/>
        </w:numPr>
        <w:spacing w:line="360" w:lineRule="auto"/>
        <w:rPr>
          <w:rFonts w:ascii="宋体" w:hAnsi="宋体"/>
          <w:b/>
          <w:sz w:val="24"/>
          <w:szCs w:val="24"/>
        </w:rPr>
      </w:pPr>
      <w:r>
        <w:rPr>
          <w:rFonts w:ascii="宋体" w:hAnsi="宋体" w:hint="eastAsia"/>
          <w:b/>
          <w:sz w:val="24"/>
          <w:szCs w:val="24"/>
        </w:rPr>
        <w:t>学术型</w:t>
      </w:r>
    </w:p>
    <w:p w:rsidR="00B30D5C" w:rsidRDefault="003D3928">
      <w:pPr>
        <w:spacing w:line="360" w:lineRule="auto"/>
        <w:ind w:firstLineChars="200" w:firstLine="480"/>
        <w:jc w:val="left"/>
        <w:rPr>
          <w:rFonts w:ascii="宋体" w:hAnsi="宋体"/>
          <w:sz w:val="24"/>
          <w:szCs w:val="24"/>
        </w:rPr>
      </w:pPr>
      <w:r>
        <w:rPr>
          <w:rFonts w:ascii="宋体" w:hAnsi="宋体" w:hint="eastAsia"/>
          <w:sz w:val="24"/>
          <w:szCs w:val="24"/>
        </w:rPr>
        <w:t>1．复试方式</w:t>
      </w:r>
    </w:p>
    <w:p w:rsidR="00B30D5C" w:rsidRDefault="003D3928">
      <w:pPr>
        <w:spacing w:line="360" w:lineRule="auto"/>
        <w:ind w:firstLineChars="200" w:firstLine="480"/>
        <w:rPr>
          <w:rFonts w:ascii="宋体" w:hAnsi="宋体"/>
          <w:sz w:val="24"/>
          <w:szCs w:val="24"/>
        </w:rPr>
      </w:pPr>
      <w:r>
        <w:rPr>
          <w:rFonts w:ascii="宋体" w:hAnsi="宋体" w:hint="eastAsia"/>
          <w:sz w:val="24"/>
        </w:rPr>
        <w:t>复试在一级学科层面统一进行，</w:t>
      </w:r>
      <w:r>
        <w:rPr>
          <w:rFonts w:ascii="宋体" w:hAnsi="宋体" w:hint="eastAsia"/>
          <w:sz w:val="24"/>
          <w:szCs w:val="24"/>
        </w:rPr>
        <w:t>分为笔试、面试和上机三部分。有CCF软件能力认证证书的考生，可免上机测试，成绩重新认定后转化为标准分，也可上机测试，以实际得分为准。</w:t>
      </w:r>
    </w:p>
    <w:p w:rsidR="00B30D5C" w:rsidRDefault="003D3928">
      <w:pPr>
        <w:spacing w:line="360" w:lineRule="auto"/>
        <w:ind w:firstLine="420"/>
        <w:rPr>
          <w:rFonts w:ascii="宋体" w:hAnsi="宋体"/>
          <w:sz w:val="24"/>
          <w:szCs w:val="24"/>
        </w:rPr>
      </w:pPr>
      <w:r>
        <w:rPr>
          <w:rFonts w:ascii="宋体" w:hAnsi="宋体" w:hint="eastAsia"/>
          <w:sz w:val="24"/>
          <w:szCs w:val="24"/>
        </w:rPr>
        <w:t>各类成绩转化为百分制标准分，按1:1:0.5的比例加权平均得复试成绩。复试成绩（标准分）=（笔试标准分×1＋面试成绩标准分×1＋上机标准分×0.5）÷2.5×95%＋外语听力及口语测试成绩，满分100分。</w:t>
      </w:r>
    </w:p>
    <w:p w:rsidR="00B30D5C" w:rsidRDefault="003D3928">
      <w:pPr>
        <w:spacing w:line="360" w:lineRule="auto"/>
        <w:ind w:firstLine="420"/>
        <w:rPr>
          <w:rFonts w:ascii="宋体" w:hAnsi="宋体"/>
          <w:sz w:val="24"/>
        </w:rPr>
      </w:pPr>
      <w:r>
        <w:rPr>
          <w:rFonts w:ascii="宋体" w:hAnsi="宋体" w:hint="eastAsia"/>
          <w:sz w:val="24"/>
          <w:szCs w:val="24"/>
        </w:rPr>
        <w:t>2.</w:t>
      </w:r>
      <w:r>
        <w:rPr>
          <w:rFonts w:ascii="宋体" w:hAnsi="宋体" w:hint="eastAsia"/>
          <w:sz w:val="24"/>
        </w:rPr>
        <w:t xml:space="preserve"> 拟录取排名方法</w:t>
      </w:r>
    </w:p>
    <w:p w:rsidR="00B30D5C" w:rsidRDefault="003D3928">
      <w:pPr>
        <w:spacing w:line="360" w:lineRule="auto"/>
        <w:ind w:firstLineChars="200" w:firstLine="480"/>
        <w:jc w:val="left"/>
        <w:rPr>
          <w:rFonts w:ascii="宋体" w:hAnsi="宋体"/>
          <w:sz w:val="24"/>
          <w:szCs w:val="24"/>
        </w:rPr>
      </w:pPr>
      <w:r>
        <w:rPr>
          <w:rFonts w:ascii="宋体" w:hAnsi="宋体" w:hint="eastAsia"/>
          <w:sz w:val="24"/>
          <w:szCs w:val="24"/>
        </w:rPr>
        <w:t>拟录取排名方法：</w:t>
      </w:r>
    </w:p>
    <w:p w:rsidR="00B30D5C" w:rsidRDefault="003D3928">
      <w:pPr>
        <w:spacing w:line="360" w:lineRule="auto"/>
        <w:rPr>
          <w:rFonts w:ascii="宋体" w:hAnsi="宋体"/>
          <w:sz w:val="24"/>
          <w:szCs w:val="24"/>
        </w:rPr>
      </w:pPr>
      <w:r>
        <w:rPr>
          <w:rFonts w:ascii="宋体" w:hAnsi="宋体" w:hint="eastAsia"/>
          <w:sz w:val="24"/>
          <w:szCs w:val="24"/>
        </w:rPr>
        <w:t xml:space="preserve">　　初试成绩转化为标准分，满分100分，按总成绩确定拟录取排名。</w:t>
      </w:r>
    </w:p>
    <w:p w:rsidR="00B30D5C" w:rsidRDefault="003D3928">
      <w:pPr>
        <w:spacing w:line="360" w:lineRule="auto"/>
        <w:rPr>
          <w:rFonts w:ascii="宋体" w:hAnsi="宋体"/>
          <w:sz w:val="24"/>
          <w:szCs w:val="24"/>
        </w:rPr>
      </w:pPr>
      <w:r>
        <w:rPr>
          <w:rFonts w:ascii="宋体" w:hAnsi="宋体" w:hint="eastAsia"/>
          <w:sz w:val="24"/>
          <w:szCs w:val="24"/>
        </w:rPr>
        <w:t xml:space="preserve">　　拟录取成绩=初试成绩标准分×60%＋复试成绩标准分×40%</w:t>
      </w:r>
    </w:p>
    <w:p w:rsidR="007B55F7" w:rsidRDefault="007B55F7" w:rsidP="007B55F7">
      <w:pPr>
        <w:spacing w:line="360" w:lineRule="auto"/>
        <w:ind w:firstLine="420"/>
        <w:rPr>
          <w:rFonts w:ascii="宋体" w:hAnsi="宋体"/>
          <w:sz w:val="24"/>
        </w:rPr>
      </w:pPr>
      <w:r>
        <w:rPr>
          <w:rFonts w:ascii="宋体" w:hAnsi="宋体" w:hint="eastAsia"/>
          <w:sz w:val="24"/>
        </w:rPr>
        <w:t>（1）考生在一级学科层面，按录取成绩从高到低排名；先录取一志愿报考本专业的考生，再录取校内调剂考生。</w:t>
      </w:r>
    </w:p>
    <w:p w:rsidR="007B55F7" w:rsidRDefault="007B55F7" w:rsidP="007B55F7">
      <w:pPr>
        <w:spacing w:line="360" w:lineRule="auto"/>
        <w:ind w:firstLine="420"/>
        <w:rPr>
          <w:rFonts w:ascii="宋体" w:hAnsi="宋体"/>
          <w:sz w:val="24"/>
        </w:rPr>
      </w:pPr>
      <w:r>
        <w:rPr>
          <w:rFonts w:ascii="宋体" w:hAnsi="宋体" w:hint="eastAsia"/>
          <w:sz w:val="24"/>
        </w:rPr>
        <w:t>（2）</w:t>
      </w:r>
      <w:r>
        <w:rPr>
          <w:rFonts w:ascii="宋体" w:hint="eastAsia"/>
          <w:sz w:val="24"/>
        </w:rPr>
        <w:t>录取政策会根据报考情况和学校政策进行调整。如有调整，以复试前发布的最新通知为准。</w:t>
      </w:r>
    </w:p>
    <w:p w:rsidR="00B30D5C" w:rsidRDefault="003D3928">
      <w:pPr>
        <w:spacing w:line="360" w:lineRule="auto"/>
        <w:ind w:firstLineChars="200" w:firstLine="480"/>
        <w:rPr>
          <w:rFonts w:ascii="宋体" w:hAnsi="宋体"/>
          <w:sz w:val="24"/>
          <w:szCs w:val="24"/>
        </w:rPr>
      </w:pPr>
      <w:r>
        <w:rPr>
          <w:rFonts w:ascii="宋体" w:hAnsi="宋体" w:hint="eastAsia"/>
          <w:sz w:val="24"/>
          <w:szCs w:val="24"/>
        </w:rPr>
        <w:t>3.校外调剂考生录取排名方法</w:t>
      </w:r>
    </w:p>
    <w:p w:rsidR="00B30D5C" w:rsidRDefault="003D3928">
      <w:pPr>
        <w:spacing w:line="360" w:lineRule="auto"/>
        <w:ind w:firstLine="480"/>
        <w:rPr>
          <w:rFonts w:ascii="宋体" w:hAnsi="宋体"/>
          <w:sz w:val="24"/>
          <w:szCs w:val="24"/>
        </w:rPr>
      </w:pPr>
      <w:r>
        <w:rPr>
          <w:rFonts w:ascii="宋体" w:hAnsi="宋体" w:hint="eastAsia"/>
          <w:sz w:val="24"/>
          <w:szCs w:val="24"/>
        </w:rPr>
        <w:t>校外调剂考生复试、录取排名方法与一志愿报考本专业领域考生一致，校外调剂考生单独排名录取。</w:t>
      </w:r>
    </w:p>
    <w:p w:rsidR="00B30D5C" w:rsidRDefault="003D3928">
      <w:pPr>
        <w:spacing w:line="360" w:lineRule="auto"/>
        <w:jc w:val="left"/>
        <w:rPr>
          <w:rFonts w:ascii="宋体" w:hAnsi="宋体"/>
          <w:sz w:val="24"/>
          <w:szCs w:val="24"/>
        </w:rPr>
      </w:pPr>
      <w:r>
        <w:rPr>
          <w:rFonts w:ascii="宋体" w:hAnsi="宋体" w:hint="eastAsia"/>
          <w:sz w:val="24"/>
          <w:szCs w:val="24"/>
        </w:rPr>
        <w:t xml:space="preserve">　　4．复试笔试科目</w:t>
      </w:r>
    </w:p>
    <w:p w:rsidR="00B30D5C" w:rsidRDefault="003D3928">
      <w:pPr>
        <w:spacing w:line="360" w:lineRule="auto"/>
        <w:jc w:val="left"/>
        <w:rPr>
          <w:rFonts w:ascii="宋体" w:hAnsi="宋体"/>
          <w:sz w:val="24"/>
          <w:szCs w:val="24"/>
        </w:rPr>
      </w:pPr>
      <w:r>
        <w:rPr>
          <w:rFonts w:ascii="宋体" w:hAnsi="宋体" w:hint="eastAsia"/>
          <w:sz w:val="24"/>
          <w:szCs w:val="24"/>
        </w:rPr>
        <w:t xml:space="preserve">　　①离散数学；②数据库原理；③计算机网络</w:t>
      </w:r>
    </w:p>
    <w:p w:rsidR="00B30D5C" w:rsidRDefault="003D3928">
      <w:pPr>
        <w:spacing w:line="360" w:lineRule="auto"/>
        <w:jc w:val="left"/>
        <w:rPr>
          <w:rFonts w:ascii="宋体" w:hAnsi="宋体"/>
          <w:sz w:val="24"/>
          <w:szCs w:val="24"/>
        </w:rPr>
      </w:pPr>
      <w:r>
        <w:rPr>
          <w:rFonts w:ascii="宋体" w:hAnsi="宋体" w:hint="eastAsia"/>
          <w:sz w:val="24"/>
          <w:szCs w:val="24"/>
        </w:rPr>
        <w:t xml:space="preserve">　　5．复试笔试科目参考书目</w:t>
      </w:r>
    </w:p>
    <w:p w:rsidR="00B30D5C" w:rsidRDefault="003D3928">
      <w:pPr>
        <w:spacing w:line="360" w:lineRule="auto"/>
        <w:jc w:val="left"/>
        <w:rPr>
          <w:rFonts w:ascii="宋体" w:hAnsi="宋体"/>
          <w:sz w:val="24"/>
          <w:szCs w:val="24"/>
        </w:rPr>
      </w:pPr>
      <w:r>
        <w:rPr>
          <w:rFonts w:ascii="宋体" w:hAnsi="宋体" w:hint="eastAsia"/>
          <w:sz w:val="24"/>
          <w:szCs w:val="24"/>
        </w:rPr>
        <w:t xml:space="preserve">　　离散数学：《离散数学》，徐秋亮编著，山东大学出版社1994年版（或计算机学院自编教材）；《</w:t>
      </w:r>
      <w:r>
        <w:rPr>
          <w:rFonts w:ascii="宋体" w:hAnsi="宋体"/>
          <w:sz w:val="24"/>
          <w:szCs w:val="24"/>
        </w:rPr>
        <w:t>Discrete Mathematics and Its Applications</w:t>
      </w:r>
      <w:r>
        <w:rPr>
          <w:rFonts w:ascii="宋体" w:hAnsi="宋体" w:hint="eastAsia"/>
          <w:sz w:val="24"/>
          <w:szCs w:val="24"/>
        </w:rPr>
        <w:t>》（</w:t>
      </w:r>
      <w:r>
        <w:rPr>
          <w:rFonts w:ascii="宋体" w:hAnsi="宋体"/>
          <w:sz w:val="24"/>
          <w:szCs w:val="24"/>
        </w:rPr>
        <w:t xml:space="preserve"> Sixth Edition</w:t>
      </w:r>
      <w:r>
        <w:rPr>
          <w:rFonts w:ascii="宋体" w:hAnsi="宋体" w:hint="eastAsia"/>
          <w:sz w:val="24"/>
          <w:szCs w:val="24"/>
        </w:rPr>
        <w:t>），</w:t>
      </w:r>
      <w:r>
        <w:rPr>
          <w:rFonts w:ascii="宋体" w:hAnsi="宋体"/>
          <w:sz w:val="24"/>
          <w:szCs w:val="24"/>
        </w:rPr>
        <w:t>作者：Kenneth H. Rosen</w:t>
      </w:r>
      <w:r>
        <w:rPr>
          <w:rFonts w:ascii="宋体" w:hAnsi="宋体" w:hint="eastAsia"/>
          <w:sz w:val="24"/>
          <w:szCs w:val="24"/>
        </w:rPr>
        <w:t>，</w:t>
      </w:r>
      <w:r>
        <w:rPr>
          <w:rFonts w:ascii="宋体" w:hAnsi="宋体"/>
          <w:sz w:val="24"/>
          <w:szCs w:val="24"/>
        </w:rPr>
        <w:t>McGraw-Hill/机械工业出版社</w:t>
      </w:r>
    </w:p>
    <w:p w:rsidR="00B30D5C" w:rsidRDefault="003D3928">
      <w:pPr>
        <w:spacing w:line="360" w:lineRule="auto"/>
        <w:jc w:val="left"/>
        <w:rPr>
          <w:rFonts w:ascii="宋体" w:hAnsi="宋体"/>
          <w:sz w:val="24"/>
          <w:szCs w:val="24"/>
        </w:rPr>
      </w:pPr>
      <w:r>
        <w:rPr>
          <w:rFonts w:ascii="宋体" w:hAnsi="宋体" w:hint="eastAsia"/>
          <w:sz w:val="24"/>
          <w:szCs w:val="24"/>
        </w:rPr>
        <w:t xml:space="preserve">　　数据库原理：《数据库系统概念》（原书第五版），杨冬青等译，机械工业出版社2006年版；</w:t>
      </w:r>
    </w:p>
    <w:p w:rsidR="00B30D5C" w:rsidRDefault="003D3928">
      <w:pPr>
        <w:spacing w:line="360" w:lineRule="auto"/>
        <w:jc w:val="left"/>
        <w:rPr>
          <w:rFonts w:ascii="宋体" w:hAnsi="宋体"/>
          <w:sz w:val="24"/>
          <w:szCs w:val="24"/>
        </w:rPr>
      </w:pPr>
      <w:r>
        <w:rPr>
          <w:rFonts w:ascii="宋体" w:hAnsi="宋体" w:hint="eastAsia"/>
          <w:sz w:val="24"/>
          <w:szCs w:val="24"/>
        </w:rPr>
        <w:lastRenderedPageBreak/>
        <w:t xml:space="preserve">　　计算机网络：《</w:t>
      </w:r>
      <w:r>
        <w:rPr>
          <w:rFonts w:ascii="宋体" w:hAnsi="宋体"/>
          <w:sz w:val="24"/>
          <w:szCs w:val="24"/>
        </w:rPr>
        <w:t>COMPUTER NETWORKS</w:t>
      </w:r>
      <w:r>
        <w:rPr>
          <w:rFonts w:ascii="宋体" w:hAnsi="宋体" w:hint="eastAsia"/>
          <w:sz w:val="24"/>
          <w:szCs w:val="24"/>
        </w:rPr>
        <w:t>》（</w:t>
      </w:r>
      <w:r>
        <w:rPr>
          <w:rFonts w:ascii="宋体" w:hAnsi="宋体"/>
          <w:sz w:val="24"/>
          <w:szCs w:val="24"/>
        </w:rPr>
        <w:t>FIFTH EDITION</w:t>
      </w:r>
      <w:r>
        <w:rPr>
          <w:rFonts w:ascii="宋体" w:hAnsi="宋体" w:hint="eastAsia"/>
          <w:sz w:val="24"/>
          <w:szCs w:val="24"/>
        </w:rPr>
        <w:t>），</w:t>
      </w:r>
      <w:r>
        <w:rPr>
          <w:rFonts w:ascii="宋体" w:hAnsi="宋体"/>
          <w:sz w:val="24"/>
          <w:szCs w:val="24"/>
        </w:rPr>
        <w:t>作者：Dandrew S. Tanenbaum</w:t>
      </w:r>
      <w:r>
        <w:rPr>
          <w:rFonts w:ascii="宋体" w:hAnsi="宋体" w:hint="eastAsia"/>
          <w:sz w:val="24"/>
          <w:szCs w:val="24"/>
        </w:rPr>
        <w:t>，</w:t>
      </w:r>
      <w:r>
        <w:rPr>
          <w:rFonts w:ascii="宋体" w:hAnsi="宋体"/>
          <w:sz w:val="24"/>
          <w:szCs w:val="24"/>
        </w:rPr>
        <w:t xml:space="preserve"> 机械工业出版社</w:t>
      </w:r>
    </w:p>
    <w:p w:rsidR="00B30D5C" w:rsidRDefault="003D3928">
      <w:pPr>
        <w:spacing w:line="360" w:lineRule="auto"/>
        <w:ind w:firstLineChars="200" w:firstLine="482"/>
        <w:rPr>
          <w:rFonts w:ascii="宋体" w:hAnsi="宋体"/>
          <w:b/>
          <w:sz w:val="24"/>
          <w:szCs w:val="24"/>
        </w:rPr>
      </w:pPr>
      <w:r>
        <w:rPr>
          <w:rFonts w:ascii="宋体" w:hAnsi="宋体" w:hint="eastAsia"/>
          <w:b/>
          <w:sz w:val="24"/>
          <w:szCs w:val="24"/>
        </w:rPr>
        <w:t>二、专业型</w:t>
      </w:r>
    </w:p>
    <w:p w:rsidR="00B30D5C" w:rsidRDefault="003D3928">
      <w:pPr>
        <w:spacing w:line="360" w:lineRule="auto"/>
        <w:ind w:firstLineChars="200" w:firstLine="480"/>
        <w:rPr>
          <w:rFonts w:ascii="宋体" w:hAnsi="宋体"/>
          <w:sz w:val="24"/>
          <w:szCs w:val="24"/>
        </w:rPr>
      </w:pPr>
      <w:r>
        <w:rPr>
          <w:rFonts w:ascii="宋体" w:hAnsi="宋体" w:hint="eastAsia"/>
          <w:sz w:val="24"/>
          <w:szCs w:val="24"/>
        </w:rPr>
        <w:t>1.复试方式：</w:t>
      </w:r>
    </w:p>
    <w:p w:rsidR="0050508E" w:rsidRDefault="0050508E" w:rsidP="0050508E">
      <w:pPr>
        <w:spacing w:line="360" w:lineRule="auto"/>
        <w:ind w:firstLineChars="200" w:firstLine="480"/>
        <w:rPr>
          <w:rFonts w:ascii="宋体" w:hAnsi="宋体"/>
          <w:sz w:val="24"/>
          <w:szCs w:val="24"/>
        </w:rPr>
      </w:pPr>
      <w:r>
        <w:rPr>
          <w:rFonts w:ascii="宋体" w:hAnsi="宋体" w:hint="eastAsia"/>
          <w:sz w:val="24"/>
          <w:szCs w:val="24"/>
        </w:rPr>
        <w:t>复试分为笔试、面试和上机三部分。有CCF软件能力认证证书的考生，可免上机测试，成绩重新认定后转化为标准分，也可上机测试，以实际得分为准。</w:t>
      </w:r>
    </w:p>
    <w:p w:rsidR="0050508E" w:rsidRDefault="0050508E" w:rsidP="0050508E">
      <w:pPr>
        <w:spacing w:line="360" w:lineRule="auto"/>
        <w:ind w:firstLineChars="200" w:firstLine="480"/>
        <w:rPr>
          <w:rFonts w:ascii="宋体" w:hAnsi="宋体"/>
          <w:sz w:val="24"/>
          <w:szCs w:val="24"/>
        </w:rPr>
      </w:pPr>
      <w:r>
        <w:rPr>
          <w:rFonts w:ascii="宋体" w:hAnsi="宋体" w:hint="eastAsia"/>
          <w:sz w:val="24"/>
          <w:szCs w:val="24"/>
        </w:rPr>
        <w:t>各类成绩转化为百分制标准分，按1:1:0.5的比例加权平均得复试成绩。复试成绩（标准分）=（笔试标准分×1＋面试成绩标准分×1＋上机标准分×0.5）÷2.5×95%＋外语听力及口语测试成绩，满分100分。</w:t>
      </w:r>
    </w:p>
    <w:p w:rsidR="00B30D5C" w:rsidRDefault="003D3928">
      <w:pPr>
        <w:spacing w:line="360" w:lineRule="auto"/>
        <w:rPr>
          <w:rFonts w:ascii="宋体" w:hAnsi="宋体"/>
          <w:sz w:val="24"/>
          <w:szCs w:val="24"/>
        </w:rPr>
      </w:pPr>
      <w:r>
        <w:rPr>
          <w:rFonts w:ascii="宋体" w:hAnsi="宋体" w:hint="eastAsia"/>
          <w:sz w:val="24"/>
          <w:szCs w:val="24"/>
        </w:rPr>
        <w:t xml:space="preserve">　　2.复试笔试科目：</w:t>
      </w:r>
    </w:p>
    <w:p w:rsidR="00B30D5C" w:rsidRDefault="003D3928">
      <w:pPr>
        <w:spacing w:line="360" w:lineRule="auto"/>
        <w:rPr>
          <w:rFonts w:ascii="宋体" w:hAnsi="宋体"/>
          <w:sz w:val="24"/>
          <w:szCs w:val="24"/>
        </w:rPr>
      </w:pPr>
      <w:r>
        <w:rPr>
          <w:rFonts w:ascii="宋体" w:hAnsi="宋体" w:hint="eastAsia"/>
          <w:sz w:val="24"/>
          <w:szCs w:val="24"/>
        </w:rPr>
        <w:t xml:space="preserve">    软件工程基础、操作系统原理、数据库系统概论</w:t>
      </w:r>
    </w:p>
    <w:p w:rsidR="00B30D5C" w:rsidRDefault="003D3928">
      <w:pPr>
        <w:spacing w:line="360" w:lineRule="auto"/>
        <w:rPr>
          <w:rFonts w:ascii="宋体" w:hAnsi="宋体"/>
          <w:sz w:val="24"/>
          <w:szCs w:val="24"/>
        </w:rPr>
      </w:pPr>
      <w:r>
        <w:rPr>
          <w:rFonts w:ascii="宋体" w:hAnsi="宋体" w:hint="eastAsia"/>
          <w:sz w:val="24"/>
          <w:szCs w:val="24"/>
        </w:rPr>
        <w:t xml:space="preserve">　　复试面试内容：</w:t>
      </w:r>
    </w:p>
    <w:p w:rsidR="00B30D5C" w:rsidRDefault="003D3928">
      <w:pPr>
        <w:spacing w:line="360" w:lineRule="auto"/>
        <w:rPr>
          <w:rFonts w:ascii="宋体" w:hAnsi="宋体"/>
          <w:sz w:val="24"/>
          <w:szCs w:val="24"/>
        </w:rPr>
      </w:pPr>
      <w:r>
        <w:rPr>
          <w:rFonts w:ascii="宋体" w:hAnsi="宋体" w:hint="eastAsia"/>
          <w:sz w:val="24"/>
          <w:szCs w:val="24"/>
        </w:rPr>
        <w:t xml:space="preserve">　　对考生进行综合知识、素质、外语听力及口语测评</w:t>
      </w:r>
    </w:p>
    <w:p w:rsidR="00B30D5C" w:rsidRDefault="003D3928">
      <w:pPr>
        <w:spacing w:line="360" w:lineRule="auto"/>
        <w:rPr>
          <w:rFonts w:ascii="宋体" w:hAnsi="宋体"/>
          <w:sz w:val="24"/>
          <w:szCs w:val="24"/>
        </w:rPr>
      </w:pPr>
      <w:r>
        <w:rPr>
          <w:rFonts w:ascii="宋体" w:hAnsi="宋体" w:hint="eastAsia"/>
          <w:sz w:val="24"/>
          <w:szCs w:val="24"/>
        </w:rPr>
        <w:t xml:space="preserve">　　3.拟录取排名方法：</w:t>
      </w:r>
    </w:p>
    <w:p w:rsidR="00B30D5C" w:rsidRDefault="003D3928">
      <w:pPr>
        <w:spacing w:line="360" w:lineRule="auto"/>
        <w:rPr>
          <w:rFonts w:ascii="宋体" w:hAnsi="宋体"/>
          <w:sz w:val="24"/>
          <w:szCs w:val="24"/>
        </w:rPr>
      </w:pPr>
      <w:r>
        <w:rPr>
          <w:rFonts w:ascii="宋体" w:hAnsi="宋体" w:hint="eastAsia"/>
          <w:sz w:val="24"/>
          <w:szCs w:val="24"/>
        </w:rPr>
        <w:t xml:space="preserve">　　按总成绩确定拟录取排名。</w:t>
      </w:r>
    </w:p>
    <w:p w:rsidR="007B55F7" w:rsidRDefault="0050508E" w:rsidP="007B55F7">
      <w:pPr>
        <w:spacing w:line="360" w:lineRule="auto"/>
        <w:ind w:firstLine="480"/>
        <w:rPr>
          <w:rFonts w:ascii="宋体" w:hAnsi="宋体"/>
          <w:sz w:val="24"/>
          <w:szCs w:val="24"/>
        </w:rPr>
      </w:pPr>
      <w:r>
        <w:rPr>
          <w:rFonts w:ascii="宋体" w:hAnsi="宋体" w:hint="eastAsia"/>
          <w:sz w:val="24"/>
          <w:szCs w:val="24"/>
        </w:rPr>
        <w:t xml:space="preserve">　</w:t>
      </w:r>
      <w:r w:rsidR="003D3928">
        <w:rPr>
          <w:rFonts w:ascii="宋体" w:hAnsi="宋体" w:hint="eastAsia"/>
          <w:sz w:val="24"/>
          <w:szCs w:val="24"/>
        </w:rPr>
        <w:t>总成绩=初试成绩标准分×60%＋复试成绩×40%</w:t>
      </w:r>
    </w:p>
    <w:p w:rsidR="007B55F7" w:rsidRDefault="007B55F7" w:rsidP="007B55F7">
      <w:pPr>
        <w:spacing w:line="360" w:lineRule="auto"/>
        <w:ind w:firstLine="480"/>
        <w:rPr>
          <w:rFonts w:ascii="宋体" w:hAnsi="宋体"/>
          <w:sz w:val="24"/>
          <w:szCs w:val="24"/>
        </w:rPr>
      </w:pPr>
      <w:r>
        <w:rPr>
          <w:rFonts w:ascii="宋体" w:hAnsi="宋体" w:hint="eastAsia"/>
          <w:sz w:val="24"/>
          <w:szCs w:val="24"/>
        </w:rPr>
        <w:t>（1）我院优先录取一志愿报考本专业领域考生，在一志愿报考本专业领域考生生源不足的情况下录取校内调剂考生，校内调剂不区分院内调剂和院外调剂。</w:t>
      </w:r>
    </w:p>
    <w:p w:rsidR="007B55F7" w:rsidRDefault="007B55F7" w:rsidP="007B55F7">
      <w:pPr>
        <w:spacing w:line="360" w:lineRule="auto"/>
        <w:ind w:firstLine="480"/>
        <w:rPr>
          <w:rFonts w:ascii="宋体" w:hAnsi="宋体"/>
          <w:sz w:val="24"/>
          <w:szCs w:val="24"/>
        </w:rPr>
      </w:pPr>
      <w:r>
        <w:rPr>
          <w:rFonts w:ascii="宋体" w:hAnsi="宋体" w:hint="eastAsia"/>
          <w:sz w:val="24"/>
          <w:szCs w:val="24"/>
        </w:rPr>
        <w:t>（2）校外调剂考生复试内容和成绩计算方法和一志愿报考本专业领域考生一致，校外调剂考生单独排名录取。</w:t>
      </w:r>
    </w:p>
    <w:p w:rsidR="007B55F7" w:rsidRDefault="007B55F7" w:rsidP="007B55F7">
      <w:pPr>
        <w:spacing w:line="360" w:lineRule="auto"/>
        <w:ind w:firstLine="480"/>
        <w:rPr>
          <w:rFonts w:ascii="宋体" w:hAnsi="宋体"/>
          <w:sz w:val="24"/>
          <w:szCs w:val="24"/>
        </w:rPr>
      </w:pPr>
      <w:r>
        <w:rPr>
          <w:rFonts w:ascii="宋体" w:hAnsi="宋体" w:hint="eastAsia"/>
          <w:sz w:val="24"/>
          <w:szCs w:val="24"/>
        </w:rPr>
        <w:t>（3）</w:t>
      </w:r>
      <w:r>
        <w:rPr>
          <w:rFonts w:ascii="宋体" w:hint="eastAsia"/>
          <w:sz w:val="24"/>
        </w:rPr>
        <w:t>录取政策会根据报考情况和学校政策进行调整。如有调整，以复试前发布的最新通知为准。</w:t>
      </w:r>
    </w:p>
    <w:p w:rsidR="00B30D5C" w:rsidRDefault="003D3928">
      <w:pPr>
        <w:spacing w:line="360" w:lineRule="auto"/>
        <w:rPr>
          <w:rFonts w:ascii="宋体" w:hAnsi="宋体"/>
          <w:sz w:val="24"/>
          <w:szCs w:val="24"/>
        </w:rPr>
      </w:pPr>
      <w:r>
        <w:rPr>
          <w:rFonts w:ascii="宋体" w:hAnsi="宋体" w:hint="eastAsia"/>
          <w:sz w:val="24"/>
          <w:szCs w:val="24"/>
        </w:rPr>
        <w:t xml:space="preserve">　　4.复试参考书目：</w:t>
      </w:r>
    </w:p>
    <w:p w:rsidR="00B30D5C" w:rsidRDefault="003D3928">
      <w:pPr>
        <w:spacing w:line="360" w:lineRule="auto"/>
        <w:ind w:firstLineChars="200" w:firstLine="480"/>
        <w:rPr>
          <w:rFonts w:ascii="宋体" w:hAnsi="宋体"/>
          <w:sz w:val="24"/>
          <w:szCs w:val="24"/>
        </w:rPr>
      </w:pPr>
      <w:r>
        <w:rPr>
          <w:rFonts w:ascii="宋体" w:hAnsi="宋体" w:hint="eastAsia"/>
          <w:sz w:val="24"/>
          <w:szCs w:val="24"/>
        </w:rPr>
        <w:t>（1）操作系统概念（第七版 中译本），作者：</w:t>
      </w:r>
      <w:r>
        <w:rPr>
          <w:rFonts w:ascii="宋体" w:hAnsi="宋体"/>
          <w:sz w:val="24"/>
          <w:szCs w:val="24"/>
        </w:rPr>
        <w:t>Abraham Silberschatz，译者：郑扣根，</w:t>
      </w:r>
      <w:r>
        <w:rPr>
          <w:rFonts w:ascii="宋体" w:hAnsi="宋体" w:hint="eastAsia"/>
          <w:sz w:val="24"/>
          <w:szCs w:val="24"/>
        </w:rPr>
        <w:t>高等教育出版社</w:t>
      </w:r>
    </w:p>
    <w:p w:rsidR="00B30D5C" w:rsidRDefault="003D3928">
      <w:pPr>
        <w:spacing w:line="360" w:lineRule="auto"/>
        <w:ind w:firstLineChars="200" w:firstLine="480"/>
        <w:rPr>
          <w:rFonts w:ascii="宋体" w:hAnsi="宋体"/>
          <w:sz w:val="24"/>
          <w:szCs w:val="24"/>
        </w:rPr>
      </w:pPr>
      <w:r>
        <w:rPr>
          <w:rFonts w:ascii="宋体" w:hAnsi="宋体" w:hint="eastAsia"/>
          <w:sz w:val="24"/>
          <w:szCs w:val="24"/>
        </w:rPr>
        <w:t xml:space="preserve">（2）数据库系统概论，作者： 史嘉权编著 出版社：清华大学出版社，出版时间： 2006-1-1 </w:t>
      </w:r>
    </w:p>
    <w:p w:rsidR="007B55F7" w:rsidRPr="0050508E" w:rsidRDefault="003D3928" w:rsidP="0050508E">
      <w:pPr>
        <w:spacing w:line="360" w:lineRule="auto"/>
        <w:ind w:firstLine="480"/>
        <w:rPr>
          <w:rFonts w:ascii="宋体" w:hAnsi="宋体" w:hint="eastAsia"/>
          <w:sz w:val="24"/>
          <w:szCs w:val="24"/>
        </w:rPr>
      </w:pPr>
      <w:r>
        <w:rPr>
          <w:rFonts w:ascii="宋体" w:hAnsi="宋体" w:hint="eastAsia"/>
          <w:sz w:val="24"/>
          <w:szCs w:val="24"/>
        </w:rPr>
        <w:t>（3）软件工程导论（第5版），作者： 张海藩编著，出版社： 清华大学出版社</w:t>
      </w:r>
      <w:bookmarkStart w:id="0" w:name="_GoBack"/>
      <w:bookmarkEnd w:id="0"/>
    </w:p>
    <w:sectPr w:rsidR="007B55F7" w:rsidRPr="0050508E" w:rsidSect="00B30D5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A8" w:rsidRDefault="00060AA8" w:rsidP="00A76B61">
      <w:r>
        <w:separator/>
      </w:r>
    </w:p>
  </w:endnote>
  <w:endnote w:type="continuationSeparator" w:id="0">
    <w:p w:rsidR="00060AA8" w:rsidRDefault="00060AA8" w:rsidP="00A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A8" w:rsidRDefault="00060AA8" w:rsidP="00A76B61">
      <w:r>
        <w:separator/>
      </w:r>
    </w:p>
  </w:footnote>
  <w:footnote w:type="continuationSeparator" w:id="0">
    <w:p w:rsidR="00060AA8" w:rsidRDefault="00060AA8" w:rsidP="00A7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B2F53"/>
    <w:multiLevelType w:val="multilevel"/>
    <w:tmpl w:val="699B2F53"/>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502"/>
    <w:rsid w:val="00034DC1"/>
    <w:rsid w:val="00060AA8"/>
    <w:rsid w:val="000A0B32"/>
    <w:rsid w:val="00106865"/>
    <w:rsid w:val="001556F2"/>
    <w:rsid w:val="00193F5B"/>
    <w:rsid w:val="00195B06"/>
    <w:rsid w:val="001A3BB3"/>
    <w:rsid w:val="001B52A2"/>
    <w:rsid w:val="001D2C46"/>
    <w:rsid w:val="001E6B93"/>
    <w:rsid w:val="00253355"/>
    <w:rsid w:val="00262DED"/>
    <w:rsid w:val="00264E57"/>
    <w:rsid w:val="002816B4"/>
    <w:rsid w:val="003200EA"/>
    <w:rsid w:val="003264A6"/>
    <w:rsid w:val="00330227"/>
    <w:rsid w:val="003D3928"/>
    <w:rsid w:val="0040250E"/>
    <w:rsid w:val="00436A4E"/>
    <w:rsid w:val="004751D8"/>
    <w:rsid w:val="0050508E"/>
    <w:rsid w:val="0051403B"/>
    <w:rsid w:val="005239A6"/>
    <w:rsid w:val="00545454"/>
    <w:rsid w:val="00561908"/>
    <w:rsid w:val="00567308"/>
    <w:rsid w:val="00613360"/>
    <w:rsid w:val="00693EE0"/>
    <w:rsid w:val="006B3DE9"/>
    <w:rsid w:val="006D0320"/>
    <w:rsid w:val="00725784"/>
    <w:rsid w:val="007B55F7"/>
    <w:rsid w:val="007E0099"/>
    <w:rsid w:val="00851EA0"/>
    <w:rsid w:val="00861F2E"/>
    <w:rsid w:val="00862DB4"/>
    <w:rsid w:val="008701BF"/>
    <w:rsid w:val="00880DCD"/>
    <w:rsid w:val="00896771"/>
    <w:rsid w:val="008C13E6"/>
    <w:rsid w:val="008D707C"/>
    <w:rsid w:val="009065E7"/>
    <w:rsid w:val="009F6FDB"/>
    <w:rsid w:val="00A11502"/>
    <w:rsid w:val="00A72BAA"/>
    <w:rsid w:val="00A76B61"/>
    <w:rsid w:val="00A76BA9"/>
    <w:rsid w:val="00A860CA"/>
    <w:rsid w:val="00A906BB"/>
    <w:rsid w:val="00AC02F1"/>
    <w:rsid w:val="00B0010B"/>
    <w:rsid w:val="00B129B7"/>
    <w:rsid w:val="00B30D5C"/>
    <w:rsid w:val="00B572BF"/>
    <w:rsid w:val="00BA1457"/>
    <w:rsid w:val="00BA312C"/>
    <w:rsid w:val="00BA5E57"/>
    <w:rsid w:val="00BB7EB6"/>
    <w:rsid w:val="00BD2752"/>
    <w:rsid w:val="00C35D92"/>
    <w:rsid w:val="00C8150F"/>
    <w:rsid w:val="00C90B24"/>
    <w:rsid w:val="00CF1DD7"/>
    <w:rsid w:val="00D64168"/>
    <w:rsid w:val="00DD5CA1"/>
    <w:rsid w:val="00DE4BB8"/>
    <w:rsid w:val="00E21B09"/>
    <w:rsid w:val="00E33AD9"/>
    <w:rsid w:val="00E40B0D"/>
    <w:rsid w:val="00E540FD"/>
    <w:rsid w:val="00E60D6B"/>
    <w:rsid w:val="00F60A12"/>
    <w:rsid w:val="00FD4F14"/>
    <w:rsid w:val="00FF357F"/>
    <w:rsid w:val="1AAC2A93"/>
    <w:rsid w:val="32CF21A5"/>
    <w:rsid w:val="3E8F31D1"/>
    <w:rsid w:val="4393365F"/>
    <w:rsid w:val="7CA50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D462BB5"/>
  <w15:docId w15:val="{9F50FA8A-8FC4-4198-BE0F-B8A15C59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D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B30D5C"/>
    <w:rPr>
      <w:sz w:val="18"/>
      <w:szCs w:val="18"/>
    </w:rPr>
  </w:style>
  <w:style w:type="character" w:customStyle="1" w:styleId="a5">
    <w:name w:val="页眉 字符"/>
    <w:link w:val="a6"/>
    <w:uiPriority w:val="99"/>
    <w:rsid w:val="00B30D5C"/>
    <w:rPr>
      <w:sz w:val="18"/>
      <w:szCs w:val="18"/>
    </w:rPr>
  </w:style>
  <w:style w:type="character" w:customStyle="1" w:styleId="a7">
    <w:name w:val="批注框文本 字符"/>
    <w:link w:val="a8"/>
    <w:uiPriority w:val="99"/>
    <w:semiHidden/>
    <w:rsid w:val="00B30D5C"/>
    <w:rPr>
      <w:sz w:val="18"/>
      <w:szCs w:val="18"/>
    </w:rPr>
  </w:style>
  <w:style w:type="paragraph" w:styleId="a8">
    <w:name w:val="Balloon Text"/>
    <w:basedOn w:val="a"/>
    <w:link w:val="a7"/>
    <w:uiPriority w:val="99"/>
    <w:unhideWhenUsed/>
    <w:rsid w:val="00B30D5C"/>
    <w:rPr>
      <w:kern w:val="0"/>
      <w:sz w:val="18"/>
      <w:szCs w:val="18"/>
    </w:rPr>
  </w:style>
  <w:style w:type="paragraph" w:styleId="a6">
    <w:name w:val="header"/>
    <w:basedOn w:val="a"/>
    <w:link w:val="a5"/>
    <w:uiPriority w:val="99"/>
    <w:unhideWhenUsed/>
    <w:rsid w:val="00B30D5C"/>
    <w:pPr>
      <w:pBdr>
        <w:bottom w:val="single" w:sz="6" w:space="1" w:color="auto"/>
      </w:pBdr>
      <w:tabs>
        <w:tab w:val="center" w:pos="4153"/>
        <w:tab w:val="right" w:pos="8306"/>
      </w:tabs>
      <w:snapToGrid w:val="0"/>
      <w:jc w:val="center"/>
    </w:pPr>
    <w:rPr>
      <w:kern w:val="0"/>
      <w:sz w:val="18"/>
      <w:szCs w:val="18"/>
    </w:rPr>
  </w:style>
  <w:style w:type="paragraph" w:styleId="a4">
    <w:name w:val="footer"/>
    <w:basedOn w:val="a"/>
    <w:link w:val="a3"/>
    <w:uiPriority w:val="99"/>
    <w:unhideWhenUsed/>
    <w:rsid w:val="00B30D5C"/>
    <w:pPr>
      <w:tabs>
        <w:tab w:val="center" w:pos="4153"/>
        <w:tab w:val="right" w:pos="8306"/>
      </w:tabs>
      <w:snapToGrid w:val="0"/>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208</Words>
  <Characters>1189</Characters>
  <Application>Microsoft Office Word</Application>
  <DocSecurity>0</DocSecurity>
  <PresentationFormat/>
  <Lines>9</Lines>
  <Paragraphs>2</Paragraphs>
  <Slides>0</Slides>
  <Notes>0</Notes>
  <HiddenSlides>0</HiddenSlides>
  <MMClips>0</MMClips>
  <ScaleCrop>false</ScaleCrop>
  <Company>Microsoft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软件学院硕士生复试方案</dc:title>
  <dc:creator>sdu</dc:creator>
  <cp:lastModifiedBy>1</cp:lastModifiedBy>
  <cp:revision>5</cp:revision>
  <dcterms:created xsi:type="dcterms:W3CDTF">2017-09-11T01:32:00Z</dcterms:created>
  <dcterms:modified xsi:type="dcterms:W3CDTF">2017-10-17T08:00:00Z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