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FB" w:rsidRDefault="00C450CB" w:rsidP="00936E78">
      <w:pPr>
        <w:spacing w:afterLines="100" w:after="24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口腔</w:t>
      </w:r>
      <w:r w:rsidR="00BD2029">
        <w:rPr>
          <w:rFonts w:ascii="黑体" w:eastAsia="黑体" w:hint="eastAsia"/>
          <w:sz w:val="28"/>
          <w:szCs w:val="28"/>
        </w:rPr>
        <w:t>学院硕士生复试方案</w:t>
      </w:r>
    </w:p>
    <w:p w:rsidR="00A456FB" w:rsidRPr="009D43AA" w:rsidRDefault="00BD2029" w:rsidP="009D43AA">
      <w:pPr>
        <w:pStyle w:val="a3"/>
        <w:spacing w:line="360" w:lineRule="auto"/>
        <w:jc w:val="left"/>
        <w:rPr>
          <w:b/>
          <w:sz w:val="24"/>
          <w:szCs w:val="24"/>
        </w:rPr>
      </w:pPr>
      <w:r w:rsidRPr="009D43AA">
        <w:rPr>
          <w:rFonts w:cs="宋体" w:hint="eastAsia"/>
          <w:b/>
          <w:sz w:val="24"/>
          <w:szCs w:val="24"/>
        </w:rPr>
        <w:t>学术型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复试方式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采用笔试、口试和操作考核三种形式。笔试成绩满分100分，口试成绩满分100分，操作考核成绩满分100分。复试成绩=（笔试成绩+口试成绩+操作考核成绩）÷3×95%+外语听力及口语测试成绩，满分100分。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复试笔试科目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口腔基础医学专业：口腔组织病理学 </w:t>
      </w:r>
    </w:p>
    <w:p w:rsidR="00A456FB" w:rsidRDefault="00BD2029">
      <w:pPr>
        <w:spacing w:line="360" w:lineRule="auto"/>
        <w:ind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口腔临床医学专业：01方向  口腔内科学      </w:t>
      </w:r>
    </w:p>
    <w:p w:rsidR="00A456FB" w:rsidRDefault="00BD2029">
      <w:pPr>
        <w:spacing w:line="360" w:lineRule="auto"/>
        <w:ind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02方向  口腔颌面外科学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03方向  口腔正畸学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                    04方向　口腔修复学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3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复试面试内容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各专业内容的口试及操作考核。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4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拟录取排名方法</w:t>
      </w:r>
    </w:p>
    <w:p w:rsidR="00A456FB" w:rsidRDefault="00936E78" w:rsidP="00BA3A21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根据考生报考志愿，</w:t>
      </w:r>
      <w:r w:rsidR="00BA3A21">
        <w:rPr>
          <w:rFonts w:ascii="宋体" w:eastAsia="宋体" w:hint="eastAsia"/>
          <w:sz w:val="24"/>
        </w:rPr>
        <w:t>分</w:t>
      </w:r>
      <w:r w:rsidR="00BD2029">
        <w:rPr>
          <w:rFonts w:ascii="宋体" w:eastAsia="宋体" w:hint="eastAsia"/>
          <w:sz w:val="24"/>
        </w:rPr>
        <w:t>专业</w:t>
      </w:r>
      <w:r w:rsidR="00BA3A21">
        <w:rPr>
          <w:rFonts w:ascii="宋体" w:eastAsia="宋体" w:hint="eastAsia"/>
          <w:sz w:val="24"/>
        </w:rPr>
        <w:t>、分</w:t>
      </w:r>
      <w:r w:rsidR="00BD2029">
        <w:rPr>
          <w:rFonts w:ascii="宋体" w:eastAsia="宋体" w:hint="eastAsia"/>
          <w:sz w:val="24"/>
        </w:rPr>
        <w:t>方向根据录取成绩从高到低排名录取。录取成绩= (初试成绩÷5）×50%＋复试成绩×50%。</w:t>
      </w:r>
    </w:p>
    <w:p w:rsidR="00BA3A21" w:rsidRDefault="00BA3A21" w:rsidP="00BA3A21">
      <w:pPr>
        <w:spacing w:line="360" w:lineRule="auto"/>
        <w:ind w:firstLineChars="200" w:firstLine="480"/>
        <w:rPr>
          <w:rFonts w:ascii="宋体" w:eastAsia="宋体" w:hint="eastAsia"/>
          <w:sz w:val="24"/>
        </w:rPr>
      </w:pPr>
      <w:r w:rsidRPr="00BA3A21"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</w:p>
    <w:p w:rsidR="00A456FB" w:rsidRDefault="00BD2029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6.</w:t>
      </w:r>
      <w:r w:rsidR="00AA3F00">
        <w:rPr>
          <w:rFonts w:ascii="宋体" w:eastAsia="宋体" w:hint="eastAsia"/>
          <w:b/>
          <w:sz w:val="24"/>
        </w:rPr>
        <w:t xml:space="preserve"> </w:t>
      </w:r>
      <w:r>
        <w:rPr>
          <w:rFonts w:ascii="宋体" w:eastAsia="宋体" w:hint="eastAsia"/>
          <w:b/>
          <w:sz w:val="24"/>
        </w:rPr>
        <w:t>复试笔试科目参考书目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《口腔组织病理学》于世凤主编，第七版, 人民卫生出版社，2012年版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《牙体牙髓病学》樊明文主编，第四版，人民卫生出版社，2012年版。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《牙周病学》孟焕新主编，第四版，人民卫生出版社，2012年版。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《口腔粘膜病学》陈谦明主编，第四版，人民卫生出版社，2014年版。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《口腔颌面外科学》张志愿主编，第七版，人民卫生出版社，2012年版。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《口腔修复学》赵铱民主编，第七版，人民卫生出版社，2014年版。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《口腔正畸学》傅民魁主编，第六版，人民卫生出版社，2012年版。</w:t>
      </w:r>
    </w:p>
    <w:p w:rsidR="00A456FB" w:rsidRDefault="00BD2029">
      <w:pPr>
        <w:spacing w:line="360" w:lineRule="auto"/>
        <w:ind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《口腔解剖生理学》王美青主编，第七版，人民卫生出版社，2012年版。</w:t>
      </w:r>
    </w:p>
    <w:p w:rsidR="00A456FB" w:rsidRDefault="00A456FB">
      <w:pPr>
        <w:pStyle w:val="a3"/>
        <w:spacing w:line="360" w:lineRule="auto"/>
        <w:jc w:val="center"/>
        <w:rPr>
          <w:rFonts w:cs="宋体"/>
          <w:sz w:val="28"/>
          <w:szCs w:val="28"/>
        </w:rPr>
      </w:pPr>
    </w:p>
    <w:p w:rsidR="00A456FB" w:rsidRPr="009D43AA" w:rsidRDefault="00BD2029" w:rsidP="009D43AA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  <w:r w:rsidRPr="009D43AA">
        <w:rPr>
          <w:rFonts w:cs="宋体" w:hint="eastAsia"/>
          <w:b/>
          <w:sz w:val="24"/>
          <w:szCs w:val="24"/>
        </w:rPr>
        <w:lastRenderedPageBreak/>
        <w:t>专业型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复试方式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采用笔试、口试和操作考核三种形式。笔试成绩满分100分，口试成绩满分100分，操作考核成绩满分100分。复试成绩=（笔试成绩+口试成绩+操作考核成绩）÷3×95%+外语听力及口语测试成绩，满分100分。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复试笔试科目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考生可根据所选方向任选以下科目：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口腔颌面外科学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口腔内科学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口腔修复学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口腔正畸学</w:t>
      </w:r>
    </w:p>
    <w:p w:rsidR="00A456FB" w:rsidRDefault="009D43AA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b/>
          <w:sz w:val="24"/>
        </w:rPr>
        <w:t>3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复试面试内容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各专业内容的口试及操作考核。</w:t>
      </w:r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4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拟录取排名方法</w:t>
      </w:r>
    </w:p>
    <w:p w:rsidR="00A456FB" w:rsidRDefault="00936E78">
      <w:pPr>
        <w:spacing w:line="360" w:lineRule="auto"/>
        <w:ind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根据考生报考志愿，</w:t>
      </w:r>
      <w:r w:rsidR="00BD2029">
        <w:rPr>
          <w:rFonts w:ascii="宋体" w:eastAsia="宋体" w:hint="eastAsia"/>
          <w:sz w:val="24"/>
        </w:rPr>
        <w:t>按照专业方向根据录取成绩从高到低排名录取。录取成绩= (初试成绩÷5）×50%＋复试成绩×50%。</w:t>
      </w:r>
    </w:p>
    <w:p w:rsidR="00AA3F00" w:rsidRDefault="00BA3A21" w:rsidP="00AA3F00">
      <w:pPr>
        <w:spacing w:line="360" w:lineRule="auto"/>
        <w:ind w:firstLine="480"/>
        <w:rPr>
          <w:rFonts w:ascii="宋体" w:eastAsia="宋体"/>
          <w:sz w:val="24"/>
        </w:rPr>
      </w:pPr>
      <w:r w:rsidRPr="00BA3A21"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  <w:bookmarkStart w:id="0" w:name="_GoBack"/>
      <w:bookmarkEnd w:id="0"/>
    </w:p>
    <w:p w:rsidR="00A456FB" w:rsidRDefault="009D43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5</w:t>
      </w:r>
      <w:r w:rsidR="00BD2029">
        <w:rPr>
          <w:rFonts w:ascii="宋体" w:eastAsia="宋体" w:hint="eastAsia"/>
          <w:b/>
          <w:sz w:val="24"/>
        </w:rPr>
        <w:t>.</w:t>
      </w:r>
      <w:r w:rsidR="00AA3F00">
        <w:rPr>
          <w:rFonts w:ascii="宋体" w:eastAsia="宋体" w:hint="eastAsia"/>
          <w:b/>
          <w:sz w:val="24"/>
        </w:rPr>
        <w:t xml:space="preserve"> </w:t>
      </w:r>
      <w:r w:rsidR="00BD2029">
        <w:rPr>
          <w:rFonts w:ascii="宋体" w:eastAsia="宋体" w:hint="eastAsia"/>
          <w:b/>
          <w:sz w:val="24"/>
        </w:rPr>
        <w:t>复试笔试科目参考书目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《口腔组织病理学》于世凤主编，第七版, 人民卫生出版社，2012年版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《牙体牙髓病学》樊明文主编，第四版，人民卫生出版社，2012年版。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《牙周病学》孟焕新主编，第四版，人民卫生出版社，2012年版。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《口腔粘膜病学》陈谦明主编，第四版，人民卫生出版社，2014年版。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《口腔颌面外科学》张志愿主编，第七版，人民卫生出版社，2012年版。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《口腔修复学》赵铱民主编，第七版，人民卫生出版社，2014年版。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《口腔正畸学》傅民魁主编，第六版，人民卫生出版社，2012年版。</w:t>
      </w:r>
    </w:p>
    <w:p w:rsidR="00A456FB" w:rsidRPr="00C450CB" w:rsidRDefault="00BD2029" w:rsidP="00C450CB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hint="eastAsia"/>
          <w:sz w:val="24"/>
        </w:rPr>
        <w:t>《口腔解剖生理学》王美青主编，第七版，人民卫生出版社，2012年版。</w:t>
      </w:r>
    </w:p>
    <w:sectPr w:rsidR="00A456FB" w:rsidRPr="00C450CB" w:rsidSect="007D7BC6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1D" w:rsidRDefault="007E171D" w:rsidP="008D5873">
      <w:r>
        <w:separator/>
      </w:r>
    </w:p>
  </w:endnote>
  <w:endnote w:type="continuationSeparator" w:id="0">
    <w:p w:rsidR="007E171D" w:rsidRDefault="007E171D" w:rsidP="008D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1D" w:rsidRDefault="007E171D" w:rsidP="008D5873">
      <w:r>
        <w:separator/>
      </w:r>
    </w:p>
  </w:footnote>
  <w:footnote w:type="continuationSeparator" w:id="0">
    <w:p w:rsidR="007E171D" w:rsidRDefault="007E171D" w:rsidP="008D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9456"/>
    <w:multiLevelType w:val="hybridMultilevel"/>
    <w:tmpl w:val="00000000"/>
    <w:lvl w:ilvl="0" w:tplc="98521FC0">
      <w:start w:val="1"/>
      <w:numFmt w:val="decimal"/>
      <w:lvlRestart w:val="0"/>
      <w:lvlText w:val="（%1）"/>
      <w:lvlJc w:val="left"/>
      <w:pPr>
        <w:tabs>
          <w:tab w:val="num" w:pos="608"/>
        </w:tabs>
        <w:ind w:left="608" w:hanging="608"/>
      </w:pPr>
      <w:rPr>
        <w:b/>
        <w:i w:val="0"/>
      </w:rPr>
    </w:lvl>
    <w:lvl w:ilvl="1" w:tplc="63B6B8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A4B5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F8891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4A0FA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B6A7F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104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A027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66BC4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2"/>
  </w:compat>
  <w:rsids>
    <w:rsidRoot w:val="00A456FB"/>
    <w:rsid w:val="00230AF5"/>
    <w:rsid w:val="003D5A9D"/>
    <w:rsid w:val="0044328F"/>
    <w:rsid w:val="004F1DF5"/>
    <w:rsid w:val="005018B6"/>
    <w:rsid w:val="005E74BF"/>
    <w:rsid w:val="00623346"/>
    <w:rsid w:val="007D7BC6"/>
    <w:rsid w:val="007E171D"/>
    <w:rsid w:val="008D5873"/>
    <w:rsid w:val="00935537"/>
    <w:rsid w:val="00936E78"/>
    <w:rsid w:val="009D43AA"/>
    <w:rsid w:val="00A45468"/>
    <w:rsid w:val="00A456FB"/>
    <w:rsid w:val="00AA3F00"/>
    <w:rsid w:val="00BA3A21"/>
    <w:rsid w:val="00BC1427"/>
    <w:rsid w:val="00BD2029"/>
    <w:rsid w:val="00C450CB"/>
    <w:rsid w:val="00D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D8FE"/>
  <w15:docId w15:val="{4B3674E9-83D1-4215-8A1B-30AD061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BC6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7BC6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rsid w:val="007D7B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rsid w:val="007D7BC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rsid w:val="007D7BC6"/>
    <w:rPr>
      <w:sz w:val="18"/>
      <w:szCs w:val="18"/>
    </w:rPr>
  </w:style>
  <w:style w:type="character" w:styleId="a7">
    <w:name w:val="Strong"/>
    <w:rsid w:val="007D7BC6"/>
    <w:rPr>
      <w:b/>
    </w:rPr>
  </w:style>
  <w:style w:type="paragraph" w:styleId="a8">
    <w:name w:val="Normal (Web)"/>
    <w:rsid w:val="007D7BC6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customStyle="1" w:styleId="1">
    <w:name w:val="列出段落1"/>
    <w:next w:val="a6"/>
    <w:rsid w:val="007D7BC6"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27</cp:revision>
  <cp:lastPrinted>2017-07-12T08:36:00Z</cp:lastPrinted>
  <dcterms:created xsi:type="dcterms:W3CDTF">2017-10-13T00:35:00Z</dcterms:created>
  <dcterms:modified xsi:type="dcterms:W3CDTF">2019-10-17T00:58:00Z</dcterms:modified>
</cp:coreProperties>
</file>